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4"/>
        <w:autoSpaceDE w:val="0"/>
        <w:autoSpaceDN w:val="0"/>
        <w:spacing w:before="132" w:line="500" w:lineRule="exact"/>
        <w:ind w:left="1567" w:hanging="1567" w:hangingChars="494"/>
        <w:rPr>
          <w:rFonts w:ascii="楷体" w:hAnsi="楷体" w:eastAsia="楷体"/>
          <w:b/>
          <w:sz w:val="32"/>
          <w:szCs w:val="32"/>
        </w:rPr>
      </w:pPr>
      <w:bookmarkStart w:id="77" w:name="_GoBack"/>
      <w:bookmarkEnd w:id="77"/>
      <w:r>
        <w:rPr>
          <w:rFonts w:hint="eastAsia" w:ascii="楷体" w:hAnsi="楷体" w:eastAsia="楷体" w:cs="楷体"/>
          <w:b/>
          <w:spacing w:val="-2"/>
          <w:kern w:val="10"/>
          <w:sz w:val="32"/>
          <w:szCs w:val="32"/>
        </w:rPr>
        <w:t>项目名称：重庆</w:t>
      </w:r>
      <w:r>
        <w:rPr>
          <w:rFonts w:hint="eastAsia" w:ascii="楷体" w:hAnsi="楷体" w:eastAsia="楷体" w:cs="楷体"/>
          <w:b/>
          <w:sz w:val="32"/>
          <w:szCs w:val="32"/>
        </w:rPr>
        <w:t>机电控股（集团）公司202</w:t>
      </w:r>
      <w:r>
        <w:rPr>
          <w:rFonts w:hint="eastAsia" w:ascii="楷体" w:hAnsi="楷体" w:eastAsia="楷体" w:cs="楷体"/>
          <w:b/>
          <w:sz w:val="32"/>
          <w:szCs w:val="32"/>
          <w:lang w:val="en-US" w:eastAsia="zh-CN"/>
        </w:rPr>
        <w:t>1</w:t>
      </w:r>
      <w:r>
        <w:rPr>
          <w:rFonts w:hint="eastAsia" w:ascii="楷体" w:hAnsi="楷体" w:eastAsia="楷体" w:cs="楷体"/>
          <w:b/>
          <w:sz w:val="32"/>
          <w:szCs w:val="32"/>
        </w:rPr>
        <w:t>年度</w:t>
      </w:r>
      <w:r>
        <w:rPr>
          <w:rFonts w:ascii="楷体" w:hAnsi="楷体" w:eastAsia="楷体"/>
          <w:b/>
          <w:sz w:val="32"/>
          <w:szCs w:val="32"/>
        </w:rPr>
        <w:t>电力直接交易（含政府基金附加和输配电）</w:t>
      </w:r>
      <w:r>
        <w:rPr>
          <w:rFonts w:hint="eastAsia" w:ascii="楷体" w:hAnsi="楷体" w:eastAsia="楷体"/>
          <w:b/>
          <w:sz w:val="32"/>
          <w:szCs w:val="32"/>
        </w:rPr>
        <w:t>自主</w:t>
      </w:r>
      <w:r>
        <w:rPr>
          <w:rFonts w:hint="eastAsia" w:ascii="楷体" w:hAnsi="楷体" w:eastAsia="楷体" w:cs="楷体"/>
          <w:b/>
          <w:sz w:val="32"/>
          <w:szCs w:val="32"/>
        </w:rPr>
        <w:t>公开招标</w:t>
      </w:r>
    </w:p>
    <w:p>
      <w:pPr>
        <w:autoSpaceDE w:val="0"/>
        <w:autoSpaceDN w:val="0"/>
        <w:spacing w:before="132" w:line="500" w:lineRule="exact"/>
        <w:rPr>
          <w:rFonts w:hint="default" w:ascii="楷体" w:hAnsi="楷体" w:eastAsia="楷体" w:cs="楷体"/>
          <w:b/>
          <w:color w:val="000000" w:themeColor="text1"/>
          <w:spacing w:val="-2"/>
          <w:kern w:val="10"/>
          <w:sz w:val="32"/>
          <w:szCs w:val="32"/>
          <w:lang w:val="en-US" w:eastAsia="zh-CN"/>
          <w14:textFill>
            <w14:solidFill>
              <w14:schemeClr w14:val="tx1"/>
            </w14:solidFill>
          </w14:textFill>
        </w:rPr>
      </w:pPr>
      <w:r>
        <w:rPr>
          <w:rFonts w:hint="eastAsia" w:ascii="楷体" w:hAnsi="楷体" w:eastAsia="楷体" w:cs="楷体"/>
          <w:b/>
          <w:spacing w:val="-2"/>
          <w:kern w:val="10"/>
          <w:sz w:val="32"/>
          <w:szCs w:val="32"/>
        </w:rPr>
        <w:t>项目编号</w:t>
      </w:r>
      <w:r>
        <w:rPr>
          <w:rFonts w:hint="eastAsia" w:ascii="楷体" w:hAnsi="楷体" w:eastAsia="楷体" w:cs="楷体"/>
          <w:b/>
          <w:color w:val="000000" w:themeColor="text1"/>
          <w:spacing w:val="-2"/>
          <w:kern w:val="10"/>
          <w:sz w:val="32"/>
          <w:szCs w:val="32"/>
          <w14:textFill>
            <w14:solidFill>
              <w14:schemeClr w14:val="tx1"/>
            </w14:solidFill>
          </w14:textFill>
        </w:rPr>
        <w:t>：SPWZ</w:t>
      </w:r>
      <w:r>
        <w:rPr>
          <w:rFonts w:hint="eastAsia" w:ascii="楷体" w:hAnsi="楷体" w:eastAsia="楷体" w:cs="楷体"/>
          <w:b/>
          <w:color w:val="000000" w:themeColor="text1"/>
          <w:spacing w:val="-2"/>
          <w:kern w:val="10"/>
          <w:sz w:val="32"/>
          <w:szCs w:val="32"/>
          <w:lang w:eastAsia="zh-CN"/>
          <w14:textFill>
            <w14:solidFill>
              <w14:schemeClr w14:val="tx1"/>
            </w14:solidFill>
          </w14:textFill>
        </w:rPr>
        <w:t>2021</w:t>
      </w:r>
      <w:r>
        <w:rPr>
          <w:rFonts w:hint="eastAsia" w:ascii="楷体" w:hAnsi="楷体" w:eastAsia="楷体" w:cs="楷体"/>
          <w:b/>
          <w:color w:val="000000" w:themeColor="text1"/>
          <w:spacing w:val="-2"/>
          <w:kern w:val="10"/>
          <w:sz w:val="32"/>
          <w:szCs w:val="32"/>
          <w14:textFill>
            <w14:solidFill>
              <w14:schemeClr w14:val="tx1"/>
            </w14:solidFill>
          </w14:textFill>
        </w:rPr>
        <w:t>-</w:t>
      </w:r>
      <w:r>
        <w:rPr>
          <w:rFonts w:hint="eastAsia" w:ascii="楷体" w:hAnsi="楷体" w:eastAsia="楷体" w:cs="楷体"/>
          <w:b/>
          <w:color w:val="000000" w:themeColor="text1"/>
          <w:spacing w:val="-2"/>
          <w:kern w:val="10"/>
          <w:sz w:val="32"/>
          <w:szCs w:val="32"/>
          <w:lang w:val="en-US" w:eastAsia="zh-CN"/>
          <w14:textFill>
            <w14:solidFill>
              <w14:schemeClr w14:val="tx1"/>
            </w14:solidFill>
          </w14:textFill>
        </w:rPr>
        <w:t>01</w:t>
      </w:r>
    </w:p>
    <w:p>
      <w:pPr>
        <w:pStyle w:val="4"/>
        <w:spacing w:line="800" w:lineRule="exact"/>
        <w:rPr>
          <w:rFonts w:ascii="仿宋_GB2312"/>
          <w:b/>
          <w:kern w:val="10"/>
          <w:sz w:val="48"/>
        </w:rPr>
      </w:pPr>
    </w:p>
    <w:p>
      <w:pPr>
        <w:pStyle w:val="4"/>
        <w:spacing w:line="800" w:lineRule="exact"/>
        <w:jc w:val="center"/>
        <w:rPr>
          <w:rFonts w:ascii="仿宋_GB2312"/>
          <w:b/>
          <w:kern w:val="10"/>
          <w:sz w:val="48"/>
        </w:rPr>
      </w:pPr>
    </w:p>
    <w:p>
      <w:pPr>
        <w:pStyle w:val="4"/>
        <w:spacing w:line="800" w:lineRule="exact"/>
        <w:jc w:val="center"/>
        <w:rPr>
          <w:rFonts w:ascii="仿宋_GB2312"/>
          <w:b/>
          <w:kern w:val="10"/>
          <w:sz w:val="48"/>
        </w:rPr>
      </w:pPr>
    </w:p>
    <w:p>
      <w:pPr>
        <w:pStyle w:val="4"/>
        <w:spacing w:line="800" w:lineRule="exact"/>
        <w:jc w:val="center"/>
        <w:rPr>
          <w:rFonts w:ascii="仿宋_GB2312"/>
          <w:b/>
          <w:kern w:val="10"/>
          <w:sz w:val="48"/>
        </w:rPr>
      </w:pPr>
    </w:p>
    <w:p>
      <w:pPr>
        <w:jc w:val="center"/>
        <w:rPr>
          <w:rFonts w:ascii="黑体" w:hAnsi="黑体" w:eastAsia="黑体"/>
          <w:b/>
          <w:spacing w:val="60"/>
          <w:sz w:val="84"/>
          <w:szCs w:val="84"/>
        </w:rPr>
      </w:pPr>
      <w:r>
        <w:rPr>
          <w:rFonts w:hint="eastAsia" w:ascii="黑体" w:hAnsi="黑体" w:eastAsia="黑体"/>
          <w:b/>
          <w:spacing w:val="60"/>
          <w:sz w:val="84"/>
          <w:szCs w:val="84"/>
        </w:rPr>
        <w:t>招标文件</w:t>
      </w:r>
    </w:p>
    <w:p>
      <w:pPr>
        <w:jc w:val="center"/>
        <w:rPr>
          <w:rFonts w:eastAsia="隶书"/>
          <w:b/>
          <w:sz w:val="84"/>
        </w:rPr>
      </w:pPr>
    </w:p>
    <w:p>
      <w:pPr>
        <w:jc w:val="center"/>
        <w:rPr>
          <w:rFonts w:eastAsia="隶书"/>
          <w:b/>
          <w:sz w:val="84"/>
        </w:rPr>
      </w:pPr>
    </w:p>
    <w:p>
      <w:pPr>
        <w:rPr>
          <w:rFonts w:eastAsia="隶书"/>
          <w:b/>
          <w:sz w:val="84"/>
        </w:rPr>
      </w:pPr>
    </w:p>
    <w:p>
      <w:pPr>
        <w:spacing w:line="520" w:lineRule="exact"/>
        <w:ind w:left="1005"/>
        <w:rPr>
          <w:b/>
          <w:sz w:val="36"/>
        </w:rPr>
      </w:pPr>
    </w:p>
    <w:p>
      <w:pPr>
        <w:spacing w:line="720" w:lineRule="auto"/>
        <w:ind w:left="315" w:leftChars="150" w:firstLine="116" w:firstLineChars="32"/>
        <w:rPr>
          <w:rFonts w:ascii="仿宋_GB2312" w:eastAsia="仿宋_GB2312"/>
          <w:b/>
          <w:sz w:val="36"/>
          <w:szCs w:val="36"/>
          <w:u w:val="single"/>
        </w:rPr>
      </w:pPr>
      <w:r>
        <w:rPr>
          <w:rFonts w:hint="eastAsia" w:ascii="仿宋_GB2312" w:eastAsia="仿宋_GB2312"/>
          <w:b/>
          <w:sz w:val="36"/>
          <w:szCs w:val="36"/>
        </w:rPr>
        <w:t>招标人：</w:t>
      </w:r>
      <w:r>
        <w:rPr>
          <w:rFonts w:hint="eastAsia" w:ascii="仿宋_GB2312" w:eastAsia="仿宋_GB2312"/>
          <w:b/>
          <w:sz w:val="36"/>
          <w:szCs w:val="36"/>
          <w:u w:val="single"/>
        </w:rPr>
        <w:t xml:space="preserve">重庆盛普物资有限公司 </w:t>
      </w:r>
      <w:r>
        <w:rPr>
          <w:rFonts w:hint="eastAsia" w:ascii="仿宋_GB2312" w:eastAsia="仿宋_GB2312"/>
          <w:b/>
          <w:sz w:val="36"/>
          <w:szCs w:val="36"/>
        </w:rPr>
        <w:t>（盖章）</w:t>
      </w:r>
    </w:p>
    <w:p>
      <w:pPr>
        <w:pStyle w:val="4"/>
        <w:jc w:val="center"/>
        <w:rPr>
          <w:b/>
          <w:sz w:val="36"/>
          <w:szCs w:val="36"/>
        </w:rPr>
      </w:pPr>
      <w:r>
        <w:rPr>
          <w:rFonts w:hint="eastAsia"/>
          <w:b/>
          <w:sz w:val="36"/>
          <w:szCs w:val="36"/>
          <w:lang w:eastAsia="zh-CN"/>
        </w:rPr>
        <w:t>202</w:t>
      </w:r>
      <w:r>
        <w:rPr>
          <w:rFonts w:hint="eastAsia"/>
          <w:b/>
          <w:sz w:val="36"/>
          <w:szCs w:val="36"/>
          <w:lang w:val="en-US" w:eastAsia="zh-CN"/>
        </w:rPr>
        <w:t>0</w:t>
      </w:r>
      <w:r>
        <w:rPr>
          <w:rFonts w:hint="eastAsia"/>
          <w:b/>
          <w:sz w:val="36"/>
          <w:szCs w:val="36"/>
        </w:rPr>
        <w:t>年</w:t>
      </w:r>
      <w:r>
        <w:rPr>
          <w:rFonts w:hint="eastAsia"/>
          <w:b/>
          <w:sz w:val="36"/>
          <w:szCs w:val="36"/>
          <w:lang w:val="en-US" w:eastAsia="zh-CN"/>
        </w:rPr>
        <w:t>11</w:t>
      </w:r>
      <w:r>
        <w:rPr>
          <w:rFonts w:hint="eastAsia"/>
          <w:b/>
          <w:sz w:val="36"/>
          <w:szCs w:val="36"/>
        </w:rPr>
        <w:t>月</w:t>
      </w:r>
      <w:r>
        <w:rPr>
          <w:rFonts w:hint="eastAsia"/>
          <w:b/>
          <w:sz w:val="36"/>
          <w:szCs w:val="36"/>
          <w:lang w:val="en-US" w:eastAsia="zh-CN"/>
        </w:rPr>
        <w:t>24</w:t>
      </w:r>
      <w:r>
        <w:rPr>
          <w:rFonts w:hint="eastAsia"/>
          <w:b/>
          <w:sz w:val="36"/>
          <w:szCs w:val="36"/>
        </w:rPr>
        <w:t>日</w:t>
      </w:r>
    </w:p>
    <w:p/>
    <w:p>
      <w:pPr>
        <w:spacing w:line="620" w:lineRule="exact"/>
        <w:rPr>
          <w:rFonts w:ascii="仿宋_GB2312" w:hAnsi="宋体" w:eastAsia="仿宋_GB2312"/>
          <w:sz w:val="28"/>
          <w:szCs w:val="28"/>
        </w:rPr>
      </w:pPr>
    </w:p>
    <w:p>
      <w:pPr>
        <w:spacing w:line="620" w:lineRule="exact"/>
        <w:rPr>
          <w:rFonts w:ascii="仿宋_GB2312" w:hAnsi="宋体" w:eastAsia="仿宋_GB2312"/>
          <w:sz w:val="28"/>
          <w:szCs w:val="28"/>
        </w:rPr>
      </w:pPr>
    </w:p>
    <w:p>
      <w:pPr>
        <w:jc w:val="center"/>
        <w:rPr>
          <w:rFonts w:ascii="隶书" w:eastAsia="隶书"/>
          <w:b/>
          <w:sz w:val="84"/>
          <w:szCs w:val="84"/>
        </w:rPr>
      </w:pPr>
      <w:r>
        <w:rPr>
          <w:rFonts w:hint="eastAsia" w:ascii="隶书" w:eastAsia="隶书"/>
          <w:b/>
          <w:sz w:val="84"/>
          <w:szCs w:val="84"/>
        </w:rPr>
        <w:t>目  录</w:t>
      </w:r>
    </w:p>
    <w:p>
      <w:pPr>
        <w:spacing w:line="900" w:lineRule="exact"/>
        <w:ind w:left="315" w:leftChars="150" w:firstLine="361" w:firstLineChars="100"/>
        <w:rPr>
          <w:rFonts w:ascii="仿宋_GB2312" w:eastAsia="仿宋_GB2312"/>
          <w:b/>
          <w:sz w:val="36"/>
          <w:szCs w:val="36"/>
        </w:rPr>
      </w:pPr>
    </w:p>
    <w:p>
      <w:pPr>
        <w:spacing w:line="900" w:lineRule="exact"/>
        <w:ind w:left="315" w:leftChars="150" w:firstLine="361" w:firstLineChars="100"/>
        <w:rPr>
          <w:rFonts w:ascii="楷体" w:hAnsi="楷体" w:eastAsia="楷体"/>
          <w:b/>
          <w:sz w:val="36"/>
          <w:szCs w:val="36"/>
        </w:rPr>
      </w:pPr>
      <w:r>
        <w:rPr>
          <w:rFonts w:hint="eastAsia" w:ascii="楷体" w:hAnsi="楷体" w:eastAsia="楷体"/>
          <w:b/>
          <w:sz w:val="36"/>
          <w:szCs w:val="36"/>
        </w:rPr>
        <w:t xml:space="preserve">第一部分  </w:t>
      </w:r>
      <w:r>
        <w:rPr>
          <w:rFonts w:ascii="楷体" w:hAnsi="楷体" w:eastAsia="楷体"/>
          <w:b/>
          <w:sz w:val="36"/>
          <w:szCs w:val="36"/>
        </w:rPr>
        <w:t>……………………</w:t>
      </w:r>
      <w:r>
        <w:rPr>
          <w:rFonts w:hint="eastAsia" w:ascii="楷体" w:hAnsi="楷体" w:eastAsia="楷体"/>
          <w:b/>
          <w:sz w:val="36"/>
          <w:szCs w:val="36"/>
        </w:rPr>
        <w:t>..投标人须知</w:t>
      </w:r>
    </w:p>
    <w:p>
      <w:pPr>
        <w:spacing w:line="900" w:lineRule="exact"/>
        <w:ind w:left="315"/>
        <w:rPr>
          <w:rFonts w:ascii="楷体" w:hAnsi="楷体" w:eastAsia="楷体"/>
          <w:b/>
          <w:sz w:val="32"/>
          <w:szCs w:val="32"/>
        </w:rPr>
      </w:pPr>
      <w:r>
        <w:rPr>
          <w:rFonts w:hint="eastAsia" w:ascii="楷体" w:hAnsi="楷体" w:eastAsia="楷体"/>
          <w:b/>
          <w:sz w:val="32"/>
          <w:szCs w:val="32"/>
        </w:rPr>
        <w:t xml:space="preserve"> 附件1</w:t>
      </w:r>
      <w:r>
        <w:rPr>
          <w:rFonts w:ascii="楷体" w:hAnsi="楷体" w:eastAsia="楷体"/>
          <w:b/>
          <w:sz w:val="32"/>
          <w:szCs w:val="32"/>
        </w:rPr>
        <w:t>………………</w:t>
      </w:r>
      <w:r>
        <w:rPr>
          <w:rFonts w:hint="eastAsia" w:ascii="楷体" w:hAnsi="楷体" w:eastAsia="楷体"/>
          <w:b/>
          <w:sz w:val="32"/>
          <w:szCs w:val="32"/>
        </w:rPr>
        <w:t>《投标人须知前附表》</w:t>
      </w:r>
    </w:p>
    <w:p>
      <w:pPr>
        <w:spacing w:line="900" w:lineRule="exact"/>
        <w:ind w:firstLine="1430" w:firstLineChars="445"/>
        <w:rPr>
          <w:rFonts w:ascii="楷体" w:hAnsi="楷体" w:eastAsia="楷体"/>
          <w:b/>
          <w:sz w:val="32"/>
          <w:szCs w:val="32"/>
        </w:rPr>
      </w:pPr>
      <w:r>
        <w:rPr>
          <w:rFonts w:hint="eastAsia" w:ascii="楷体" w:hAnsi="楷体" w:eastAsia="楷体"/>
          <w:b/>
          <w:sz w:val="32"/>
          <w:szCs w:val="32"/>
        </w:rPr>
        <w:t>附件2</w:t>
      </w:r>
      <w:r>
        <w:rPr>
          <w:rFonts w:ascii="楷体" w:hAnsi="楷体" w:eastAsia="楷体"/>
          <w:b/>
          <w:sz w:val="32"/>
          <w:szCs w:val="32"/>
        </w:rPr>
        <w:t>………………………</w:t>
      </w:r>
      <w:r>
        <w:rPr>
          <w:rFonts w:hint="eastAsia" w:ascii="楷体" w:hAnsi="楷体" w:eastAsia="楷体"/>
          <w:b/>
          <w:sz w:val="32"/>
          <w:szCs w:val="32"/>
        </w:rPr>
        <w:t>《投标报价表》</w:t>
      </w:r>
    </w:p>
    <w:p>
      <w:pPr>
        <w:spacing w:line="900" w:lineRule="exact"/>
        <w:ind w:firstLine="705"/>
        <w:rPr>
          <w:rFonts w:ascii="楷体" w:hAnsi="楷体" w:eastAsia="楷体"/>
          <w:b/>
          <w:sz w:val="36"/>
          <w:szCs w:val="36"/>
        </w:rPr>
      </w:pPr>
      <w:r>
        <w:rPr>
          <w:rFonts w:hint="eastAsia" w:ascii="楷体" w:hAnsi="楷体" w:eastAsia="楷体"/>
          <w:b/>
          <w:sz w:val="36"/>
          <w:szCs w:val="36"/>
        </w:rPr>
        <w:t xml:space="preserve">第二部分 </w:t>
      </w:r>
      <w:r>
        <w:rPr>
          <w:rFonts w:ascii="楷体" w:hAnsi="楷体" w:eastAsia="楷体"/>
          <w:b/>
          <w:sz w:val="36"/>
          <w:szCs w:val="36"/>
        </w:rPr>
        <w:t>………………………</w:t>
      </w:r>
      <w:r>
        <w:rPr>
          <w:rFonts w:hint="eastAsia" w:ascii="楷体" w:hAnsi="楷体" w:eastAsia="楷体"/>
          <w:b/>
          <w:sz w:val="36"/>
          <w:szCs w:val="36"/>
        </w:rPr>
        <w:t>..评标办法</w:t>
      </w:r>
    </w:p>
    <w:p>
      <w:pPr>
        <w:spacing w:line="900" w:lineRule="exact"/>
        <w:ind w:firstLine="1346" w:firstLineChars="419"/>
        <w:rPr>
          <w:rFonts w:ascii="楷体" w:hAnsi="楷体" w:eastAsia="楷体"/>
          <w:b/>
          <w:sz w:val="32"/>
          <w:szCs w:val="32"/>
        </w:rPr>
      </w:pPr>
      <w:r>
        <w:rPr>
          <w:rFonts w:hint="eastAsia" w:ascii="楷体" w:hAnsi="楷体" w:eastAsia="楷体"/>
          <w:b/>
          <w:sz w:val="32"/>
          <w:szCs w:val="32"/>
        </w:rPr>
        <w:t xml:space="preserve">附件1 </w:t>
      </w:r>
      <w:r>
        <w:rPr>
          <w:rFonts w:ascii="楷体" w:hAnsi="楷体" w:eastAsia="楷体"/>
          <w:b/>
          <w:sz w:val="32"/>
          <w:szCs w:val="32"/>
        </w:rPr>
        <w:t>…………………</w:t>
      </w:r>
      <w:r>
        <w:rPr>
          <w:rFonts w:hint="eastAsia" w:ascii="楷体" w:hAnsi="楷体" w:eastAsia="楷体"/>
          <w:b/>
          <w:sz w:val="32"/>
          <w:szCs w:val="32"/>
        </w:rPr>
        <w:t>《评标办法前附表》</w:t>
      </w:r>
    </w:p>
    <w:p>
      <w:pPr>
        <w:spacing w:line="900" w:lineRule="exact"/>
        <w:ind w:firstLine="723" w:firstLineChars="200"/>
        <w:rPr>
          <w:rFonts w:ascii="楷体" w:hAnsi="楷体" w:eastAsia="楷体"/>
          <w:b/>
          <w:sz w:val="36"/>
          <w:szCs w:val="36"/>
        </w:rPr>
      </w:pPr>
      <w:r>
        <w:rPr>
          <w:rFonts w:hint="eastAsia" w:ascii="楷体" w:hAnsi="楷体" w:eastAsia="楷体"/>
          <w:b/>
          <w:sz w:val="36"/>
          <w:szCs w:val="36"/>
        </w:rPr>
        <w:t xml:space="preserve">第三部分  </w:t>
      </w:r>
      <w:r>
        <w:rPr>
          <w:rFonts w:ascii="楷体" w:hAnsi="楷体" w:eastAsia="楷体"/>
          <w:b/>
          <w:sz w:val="36"/>
          <w:szCs w:val="36"/>
        </w:rPr>
        <w:t>………………</w:t>
      </w:r>
      <w:r>
        <w:rPr>
          <w:rFonts w:hint="eastAsia" w:ascii="楷体" w:hAnsi="楷体" w:eastAsia="楷体"/>
          <w:b/>
          <w:sz w:val="36"/>
          <w:szCs w:val="36"/>
        </w:rPr>
        <w:t>合同条款及格式</w:t>
      </w:r>
    </w:p>
    <w:p>
      <w:pPr>
        <w:spacing w:line="900" w:lineRule="exact"/>
        <w:ind w:firstLine="723" w:firstLineChars="200"/>
        <w:rPr>
          <w:rFonts w:ascii="楷体" w:hAnsi="楷体" w:eastAsia="楷体"/>
          <w:b/>
          <w:sz w:val="36"/>
          <w:szCs w:val="36"/>
        </w:rPr>
      </w:pPr>
      <w:r>
        <w:rPr>
          <w:rFonts w:hint="eastAsia" w:ascii="楷体" w:hAnsi="楷体" w:eastAsia="楷体"/>
          <w:b/>
          <w:sz w:val="36"/>
          <w:szCs w:val="36"/>
        </w:rPr>
        <w:t>第四部分</w:t>
      </w:r>
      <w:r>
        <w:rPr>
          <w:rFonts w:ascii="楷体" w:hAnsi="楷体" w:eastAsia="楷体"/>
          <w:b/>
          <w:sz w:val="36"/>
          <w:szCs w:val="36"/>
        </w:rPr>
        <w:t>…………………………</w:t>
      </w:r>
      <w:r>
        <w:rPr>
          <w:rFonts w:hint="eastAsia" w:ascii="楷体" w:hAnsi="楷体" w:eastAsia="楷体"/>
          <w:b/>
          <w:sz w:val="36"/>
          <w:szCs w:val="36"/>
        </w:rPr>
        <w:t>其他要求</w:t>
      </w:r>
    </w:p>
    <w:p>
      <w:pPr>
        <w:spacing w:line="900" w:lineRule="exact"/>
        <w:ind w:firstLine="1285" w:firstLineChars="400"/>
        <w:rPr>
          <w:rFonts w:ascii="楷体" w:hAnsi="楷体" w:eastAsia="楷体"/>
          <w:b/>
          <w:sz w:val="32"/>
          <w:szCs w:val="32"/>
        </w:rPr>
      </w:pPr>
      <w:r>
        <w:rPr>
          <w:rFonts w:hint="eastAsia" w:ascii="楷体" w:hAnsi="楷体" w:eastAsia="楷体"/>
          <w:b/>
          <w:sz w:val="32"/>
          <w:szCs w:val="32"/>
        </w:rPr>
        <w:t xml:space="preserve">附件1 </w:t>
      </w:r>
      <w:r>
        <w:rPr>
          <w:rFonts w:ascii="楷体" w:hAnsi="楷体" w:eastAsia="楷体"/>
          <w:b/>
          <w:sz w:val="32"/>
          <w:szCs w:val="32"/>
        </w:rPr>
        <w:t>……………………………</w:t>
      </w:r>
      <w:r>
        <w:rPr>
          <w:rFonts w:hint="eastAsia" w:ascii="楷体" w:hAnsi="楷体" w:eastAsia="楷体"/>
          <w:b/>
          <w:sz w:val="32"/>
          <w:szCs w:val="32"/>
        </w:rPr>
        <w:t>《投标函》</w:t>
      </w:r>
    </w:p>
    <w:p>
      <w:pPr>
        <w:spacing w:line="900" w:lineRule="exact"/>
        <w:ind w:firstLine="1285" w:firstLineChars="400"/>
        <w:rPr>
          <w:rFonts w:ascii="楷体" w:hAnsi="楷体" w:eastAsia="楷体"/>
          <w:b/>
          <w:sz w:val="32"/>
          <w:szCs w:val="32"/>
        </w:rPr>
      </w:pPr>
      <w:r>
        <w:rPr>
          <w:rFonts w:hint="eastAsia" w:ascii="楷体" w:hAnsi="楷体" w:eastAsia="楷体"/>
          <w:b/>
          <w:sz w:val="32"/>
          <w:szCs w:val="32"/>
        </w:rPr>
        <w:t xml:space="preserve">附件2 </w:t>
      </w:r>
      <w:r>
        <w:rPr>
          <w:rFonts w:ascii="楷体" w:hAnsi="楷体" w:eastAsia="楷体"/>
          <w:b/>
          <w:sz w:val="32"/>
          <w:szCs w:val="32"/>
        </w:rPr>
        <w:t>…</w:t>
      </w:r>
      <w:r>
        <w:rPr>
          <w:rFonts w:hint="eastAsia" w:ascii="楷体" w:hAnsi="楷体" w:eastAsia="楷体"/>
          <w:b/>
          <w:sz w:val="32"/>
          <w:szCs w:val="32"/>
        </w:rPr>
        <w:t>《法定代表身份证明及授权委托书》</w:t>
      </w:r>
    </w:p>
    <w:p>
      <w:pPr>
        <w:spacing w:line="900" w:lineRule="exact"/>
        <w:ind w:firstLine="1285" w:firstLineChars="400"/>
        <w:rPr>
          <w:rFonts w:ascii="楷体" w:hAnsi="楷体" w:eastAsia="楷体"/>
          <w:b/>
          <w:sz w:val="32"/>
          <w:szCs w:val="32"/>
        </w:rPr>
      </w:pPr>
      <w:r>
        <w:rPr>
          <w:rFonts w:hint="eastAsia" w:ascii="楷体" w:hAnsi="楷体" w:eastAsia="楷体"/>
          <w:b/>
          <w:sz w:val="32"/>
          <w:szCs w:val="32"/>
        </w:rPr>
        <w:t>附件3</w:t>
      </w:r>
      <w:r>
        <w:rPr>
          <w:rFonts w:ascii="楷体" w:hAnsi="楷体" w:eastAsia="楷体"/>
          <w:b/>
          <w:sz w:val="32"/>
          <w:szCs w:val="32"/>
        </w:rPr>
        <w:t>………………</w:t>
      </w:r>
      <w:r>
        <w:rPr>
          <w:rFonts w:hint="eastAsia" w:ascii="楷体" w:hAnsi="楷体" w:eastAsia="楷体"/>
          <w:b/>
          <w:sz w:val="32"/>
          <w:szCs w:val="32"/>
        </w:rPr>
        <w:t>《可提供增值服务证明》</w:t>
      </w:r>
    </w:p>
    <w:p>
      <w:pPr>
        <w:spacing w:line="900" w:lineRule="exact"/>
        <w:ind w:firstLine="1285" w:firstLineChars="400"/>
        <w:rPr>
          <w:rFonts w:ascii="楷体" w:hAnsi="楷体" w:eastAsia="楷体"/>
          <w:b/>
          <w:sz w:val="32"/>
          <w:szCs w:val="32"/>
        </w:rPr>
      </w:pPr>
      <w:r>
        <w:rPr>
          <w:rFonts w:hint="eastAsia" w:ascii="楷体" w:hAnsi="楷体" w:eastAsia="楷体"/>
          <w:b/>
          <w:sz w:val="32"/>
          <w:szCs w:val="32"/>
        </w:rPr>
        <w:t>附件4……………………</w:t>
      </w:r>
      <w:r>
        <w:rPr>
          <w:rFonts w:ascii="楷体" w:hAnsi="楷体" w:eastAsia="楷体"/>
          <w:b/>
          <w:sz w:val="32"/>
          <w:szCs w:val="32"/>
        </w:rPr>
        <w:t>……</w:t>
      </w:r>
      <w:r>
        <w:rPr>
          <w:rFonts w:hint="eastAsia" w:ascii="楷体" w:hAnsi="楷体" w:eastAsia="楷体"/>
          <w:b/>
          <w:sz w:val="32"/>
          <w:szCs w:val="32"/>
        </w:rPr>
        <w:t>《投标报价表》</w:t>
      </w:r>
    </w:p>
    <w:p>
      <w:pPr>
        <w:rPr>
          <w:rFonts w:ascii="楷体" w:hAnsi="楷体" w:eastAsia="楷体"/>
          <w:b/>
          <w:sz w:val="32"/>
          <w:szCs w:val="32"/>
        </w:rPr>
      </w:pPr>
    </w:p>
    <w:p>
      <w:pPr>
        <w:rPr>
          <w:rFonts w:ascii="楷体" w:hAnsi="楷体" w:eastAsia="楷体"/>
          <w:b/>
          <w:sz w:val="32"/>
          <w:szCs w:val="32"/>
        </w:rPr>
      </w:pPr>
    </w:p>
    <w:p>
      <w:pPr>
        <w:rPr>
          <w:rFonts w:ascii="楷体" w:hAnsi="楷体" w:eastAsia="楷体"/>
        </w:rPr>
      </w:pPr>
    </w:p>
    <w:p>
      <w:pPr>
        <w:pStyle w:val="2"/>
        <w:spacing w:line="540" w:lineRule="exact"/>
        <w:jc w:val="center"/>
        <w:rPr>
          <w:rFonts w:ascii="黑体" w:hAnsi="宋体"/>
          <w:sz w:val="36"/>
          <w:szCs w:val="36"/>
        </w:rPr>
      </w:pPr>
      <w:bookmarkStart w:id="0" w:name="_Toc232761295"/>
      <w:bookmarkStart w:id="1" w:name="_Toc232565127"/>
      <w:bookmarkStart w:id="2" w:name="_Toc232761837"/>
      <w:bookmarkStart w:id="3" w:name="_Toc232762226"/>
      <w:bookmarkStart w:id="4" w:name="_Toc232760985"/>
      <w:bookmarkStart w:id="5" w:name="_Toc232565293"/>
      <w:bookmarkStart w:id="6" w:name="_Toc232563000"/>
      <w:bookmarkStart w:id="7" w:name="_Toc232564711"/>
      <w:bookmarkStart w:id="8" w:name="_Toc232565185"/>
      <w:bookmarkStart w:id="9" w:name="_Toc232762567"/>
      <w:bookmarkStart w:id="10" w:name="_Toc232568043"/>
      <w:bookmarkStart w:id="11" w:name="_Toc232583423"/>
      <w:bookmarkStart w:id="12" w:name="_Toc232762145"/>
      <w:bookmarkStart w:id="13" w:name="_Toc232581770"/>
      <w:bookmarkStart w:id="14" w:name="_Toc232582260"/>
      <w:bookmarkStart w:id="15" w:name="_Toc232568255"/>
      <w:bookmarkStart w:id="16" w:name="_Toc232761293"/>
      <w:bookmarkStart w:id="17" w:name="_Toc232568041"/>
      <w:bookmarkStart w:id="18" w:name="_Toc232760983"/>
      <w:bookmarkStart w:id="19" w:name="_Toc232582258"/>
      <w:bookmarkStart w:id="20" w:name="_Toc232568253"/>
      <w:bookmarkStart w:id="21" w:name="_Toc232583421"/>
      <w:bookmarkStart w:id="22" w:name="_Toc232762565"/>
      <w:bookmarkStart w:id="23" w:name="_Toc232581768"/>
      <w:bookmarkStart w:id="24" w:name="_Toc232762224"/>
      <w:bookmarkStart w:id="25" w:name="_Toc232761835"/>
      <w:bookmarkStart w:id="26" w:name="_Toc232762143"/>
      <w:r>
        <w:rPr>
          <w:rFonts w:hint="eastAsia" w:ascii="黑体" w:hAnsi="宋体"/>
          <w:sz w:val="36"/>
          <w:szCs w:val="36"/>
        </w:rPr>
        <w:t>第一部分：</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hint="eastAsia" w:ascii="黑体" w:hAnsi="宋体"/>
          <w:sz w:val="36"/>
          <w:szCs w:val="36"/>
        </w:rPr>
        <w:t>投标人须知</w:t>
      </w:r>
    </w:p>
    <w:bookmarkEnd w:id="16"/>
    <w:bookmarkEnd w:id="17"/>
    <w:bookmarkEnd w:id="18"/>
    <w:bookmarkEnd w:id="19"/>
    <w:bookmarkEnd w:id="20"/>
    <w:bookmarkEnd w:id="21"/>
    <w:bookmarkEnd w:id="22"/>
    <w:bookmarkEnd w:id="23"/>
    <w:bookmarkEnd w:id="24"/>
    <w:bookmarkEnd w:id="25"/>
    <w:bookmarkEnd w:id="26"/>
    <w:p>
      <w:pPr>
        <w:spacing w:line="540" w:lineRule="exact"/>
        <w:rPr>
          <w:rFonts w:ascii="楷体" w:hAnsi="楷体" w:eastAsia="楷体"/>
          <w:b/>
          <w:bCs/>
          <w:sz w:val="28"/>
          <w:szCs w:val="28"/>
        </w:rPr>
      </w:pPr>
      <w:r>
        <w:rPr>
          <w:rFonts w:hint="eastAsia" w:ascii="楷体" w:hAnsi="楷体" w:eastAsia="楷体"/>
          <w:b/>
          <w:bCs/>
          <w:sz w:val="28"/>
          <w:szCs w:val="28"/>
        </w:rPr>
        <w:t>投标人须知前附表</w:t>
      </w:r>
    </w:p>
    <w:tbl>
      <w:tblPr>
        <w:tblStyle w:val="8"/>
        <w:tblW w:w="8379" w:type="dxa"/>
        <w:tblInd w:w="93" w:type="dxa"/>
        <w:tblLayout w:type="fixed"/>
        <w:tblCellMar>
          <w:top w:w="0" w:type="dxa"/>
          <w:left w:w="108" w:type="dxa"/>
          <w:bottom w:w="0" w:type="dxa"/>
          <w:right w:w="108" w:type="dxa"/>
        </w:tblCellMar>
      </w:tblPr>
      <w:tblGrid>
        <w:gridCol w:w="724"/>
        <w:gridCol w:w="1701"/>
        <w:gridCol w:w="5954"/>
      </w:tblGrid>
      <w:tr>
        <w:tblPrEx>
          <w:tblLayout w:type="fixed"/>
          <w:tblCellMar>
            <w:top w:w="0" w:type="dxa"/>
            <w:left w:w="108" w:type="dxa"/>
            <w:bottom w:w="0" w:type="dxa"/>
            <w:right w:w="108" w:type="dxa"/>
          </w:tblCellMar>
        </w:tblPrEx>
        <w:trPr>
          <w:trHeight w:val="435" w:hRule="atLeast"/>
        </w:trPr>
        <w:tc>
          <w:tcPr>
            <w:tcW w:w="724"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0"/>
                <w:szCs w:val="20"/>
              </w:rPr>
            </w:pPr>
            <w:bookmarkStart w:id="27" w:name="_Toc232581779"/>
            <w:bookmarkStart w:id="28" w:name="_Toc232761846"/>
            <w:bookmarkStart w:id="29" w:name="_Toc232582269"/>
            <w:bookmarkStart w:id="30" w:name="_Toc232762576"/>
            <w:bookmarkStart w:id="31" w:name="_Toc232760994"/>
            <w:bookmarkStart w:id="32" w:name="_Toc232761304"/>
            <w:bookmarkStart w:id="33" w:name="_Toc232762235"/>
            <w:bookmarkStart w:id="34" w:name="_Toc232568052"/>
            <w:bookmarkStart w:id="35" w:name="_Toc232762154"/>
            <w:bookmarkStart w:id="36" w:name="_Toc232583432"/>
            <w:r>
              <w:rPr>
                <w:rFonts w:hint="eastAsia" w:ascii="黑体" w:hAnsi="黑体" w:eastAsia="黑体" w:cs="宋体"/>
                <w:b/>
                <w:bCs/>
                <w:kern w:val="0"/>
                <w:sz w:val="20"/>
                <w:szCs w:val="20"/>
              </w:rPr>
              <w:t>项号</w:t>
            </w:r>
          </w:p>
        </w:tc>
        <w:tc>
          <w:tcPr>
            <w:tcW w:w="170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内    容</w:t>
            </w:r>
          </w:p>
        </w:tc>
        <w:tc>
          <w:tcPr>
            <w:tcW w:w="595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黑体" w:hAnsi="黑体" w:eastAsia="黑体" w:cs="宋体"/>
                <w:b/>
                <w:bCs/>
                <w:kern w:val="0"/>
                <w:sz w:val="20"/>
                <w:szCs w:val="20"/>
              </w:rPr>
            </w:pPr>
            <w:r>
              <w:rPr>
                <w:rFonts w:hint="eastAsia" w:ascii="黑体" w:hAnsi="黑体" w:eastAsia="黑体" w:cs="宋体"/>
                <w:b/>
                <w:bCs/>
                <w:kern w:val="0"/>
                <w:sz w:val="20"/>
                <w:szCs w:val="20"/>
              </w:rPr>
              <w:t>说明与要求</w:t>
            </w:r>
          </w:p>
        </w:tc>
      </w:tr>
      <w:tr>
        <w:tblPrEx>
          <w:tblLayout w:type="fixed"/>
          <w:tblCellMar>
            <w:top w:w="0" w:type="dxa"/>
            <w:left w:w="108" w:type="dxa"/>
            <w:bottom w:w="0" w:type="dxa"/>
            <w:right w:w="108" w:type="dxa"/>
          </w:tblCellMar>
        </w:tblPrEx>
        <w:trPr>
          <w:trHeight w:val="88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项目名称</w:t>
            </w:r>
          </w:p>
        </w:tc>
        <w:tc>
          <w:tcPr>
            <w:tcW w:w="5954" w:type="dxa"/>
            <w:tcBorders>
              <w:top w:val="nil"/>
              <w:left w:val="nil"/>
              <w:bottom w:val="single" w:color="auto" w:sz="4" w:space="0"/>
              <w:right w:val="single" w:color="auto" w:sz="8" w:space="0"/>
            </w:tcBorders>
            <w:shd w:val="clear" w:color="auto" w:fill="auto"/>
            <w:vAlign w:val="center"/>
          </w:tcPr>
          <w:p>
            <w:pPr>
              <w:autoSpaceDE w:val="0"/>
              <w:autoSpaceDN w:val="0"/>
              <w:spacing w:before="132" w:line="500" w:lineRule="exact"/>
              <w:jc w:val="left"/>
              <w:rPr>
                <w:rFonts w:asciiTheme="minorEastAsia" w:hAnsiTheme="minorEastAsia" w:eastAsiaTheme="minorEastAsia"/>
                <w:sz w:val="20"/>
                <w:szCs w:val="20"/>
              </w:rPr>
            </w:pPr>
            <w:r>
              <w:rPr>
                <w:rFonts w:hint="eastAsia" w:ascii="宋体" w:hAnsi="宋体" w:cs="宋体"/>
                <w:kern w:val="0"/>
                <w:sz w:val="20"/>
                <w:szCs w:val="20"/>
              </w:rPr>
              <w:t>重庆机电控股（集团）公司202</w:t>
            </w:r>
            <w:r>
              <w:rPr>
                <w:rFonts w:hint="eastAsia" w:ascii="宋体" w:hAnsi="宋体" w:cs="宋体"/>
                <w:kern w:val="0"/>
                <w:sz w:val="20"/>
                <w:szCs w:val="20"/>
                <w:lang w:val="en-US" w:eastAsia="zh-CN"/>
              </w:rPr>
              <w:t>1</w:t>
            </w:r>
            <w:r>
              <w:rPr>
                <w:rFonts w:hint="eastAsia" w:ascii="宋体" w:hAnsi="宋体" w:cs="宋体"/>
                <w:kern w:val="0"/>
                <w:sz w:val="20"/>
                <w:szCs w:val="20"/>
              </w:rPr>
              <w:t>年度直供电打捆交易</w:t>
            </w:r>
            <w:r>
              <w:rPr>
                <w:rFonts w:asciiTheme="minorEastAsia" w:hAnsiTheme="minorEastAsia" w:eastAsiaTheme="minorEastAsia"/>
                <w:sz w:val="20"/>
                <w:szCs w:val="20"/>
              </w:rPr>
              <w:t>（含政府基金附加和输配电）</w:t>
            </w:r>
            <w:r>
              <w:rPr>
                <w:rFonts w:hint="eastAsia" w:ascii="宋体" w:hAnsi="宋体" w:cs="宋体"/>
                <w:kern w:val="0"/>
                <w:sz w:val="20"/>
                <w:szCs w:val="20"/>
              </w:rPr>
              <w:t>公开招标</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项目地点</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重庆机电控股（集团）公司所属各企业</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项目规模</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年度采购金额预计2.</w:t>
            </w:r>
            <w:r>
              <w:rPr>
                <w:rFonts w:hint="eastAsia" w:ascii="宋体" w:hAnsi="宋体" w:cs="宋体"/>
                <w:kern w:val="0"/>
                <w:sz w:val="20"/>
                <w:szCs w:val="20"/>
                <w:lang w:val="en-US" w:eastAsia="zh-CN"/>
              </w:rPr>
              <w:t>9</w:t>
            </w:r>
            <w:r>
              <w:rPr>
                <w:rFonts w:hint="eastAsia" w:ascii="宋体" w:hAnsi="宋体" w:cs="宋体"/>
                <w:kern w:val="0"/>
                <w:sz w:val="20"/>
                <w:szCs w:val="20"/>
              </w:rPr>
              <w:t>9亿千瓦时左右</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招标方式</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企业自主公开招标</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质量要求</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执行国家标准或与企业签订的技术、质量协议</w:t>
            </w:r>
          </w:p>
        </w:tc>
      </w:tr>
      <w:tr>
        <w:tblPrEx>
          <w:tblLayout w:type="fixed"/>
          <w:tblCellMar>
            <w:top w:w="0" w:type="dxa"/>
            <w:left w:w="108" w:type="dxa"/>
            <w:bottom w:w="0" w:type="dxa"/>
            <w:right w:w="108" w:type="dxa"/>
          </w:tblCellMar>
        </w:tblPrEx>
        <w:trPr>
          <w:trHeight w:val="43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执行期限</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ascii="Calibri" w:hAnsi="Calibri" w:cs="Calibri"/>
                <w:kern w:val="0"/>
                <w:sz w:val="20"/>
                <w:szCs w:val="20"/>
              </w:rPr>
            </w:pPr>
            <w:r>
              <w:rPr>
                <w:rFonts w:hint="eastAsia" w:cs="Calibri" w:asciiTheme="minorEastAsia" w:hAnsiTheme="minorEastAsia" w:eastAsiaTheme="minorEastAsia"/>
                <w:kern w:val="0"/>
                <w:sz w:val="20"/>
                <w:szCs w:val="20"/>
                <w:u w:val="single"/>
              </w:rPr>
              <w:t>202</w:t>
            </w:r>
            <w:r>
              <w:rPr>
                <w:rFonts w:hint="eastAsia" w:cs="Calibri" w:asciiTheme="minorEastAsia" w:hAnsiTheme="minorEastAsia" w:eastAsiaTheme="minorEastAsia"/>
                <w:kern w:val="0"/>
                <w:sz w:val="20"/>
                <w:szCs w:val="20"/>
                <w:u w:val="single"/>
                <w:lang w:val="en-US" w:eastAsia="zh-CN"/>
              </w:rPr>
              <w:t>1</w:t>
            </w:r>
            <w:r>
              <w:rPr>
                <w:rFonts w:hint="eastAsia" w:ascii="宋体" w:hAnsi="宋体" w:cs="Calibri"/>
                <w:kern w:val="0"/>
                <w:sz w:val="20"/>
                <w:szCs w:val="20"/>
              </w:rPr>
              <w:t>年</w:t>
            </w:r>
            <w:r>
              <w:rPr>
                <w:rFonts w:hint="eastAsia" w:ascii="宋体" w:hAnsi="宋体" w:cs="Calibri"/>
                <w:kern w:val="0"/>
                <w:sz w:val="20"/>
                <w:szCs w:val="20"/>
                <w:u w:val="single"/>
              </w:rPr>
              <w:t>01</w:t>
            </w:r>
            <w:r>
              <w:rPr>
                <w:rFonts w:hint="eastAsia" w:ascii="宋体" w:hAnsi="宋体" w:cs="Calibri"/>
                <w:kern w:val="0"/>
                <w:sz w:val="20"/>
                <w:szCs w:val="20"/>
              </w:rPr>
              <w:t>月</w:t>
            </w:r>
            <w:r>
              <w:rPr>
                <w:rFonts w:hint="eastAsia" w:ascii="宋体" w:hAnsi="宋体" w:cs="Calibri"/>
                <w:kern w:val="0"/>
                <w:sz w:val="20"/>
                <w:szCs w:val="20"/>
                <w:u w:val="single"/>
              </w:rPr>
              <w:t>01</w:t>
            </w:r>
            <w:r>
              <w:rPr>
                <w:rFonts w:hint="eastAsia" w:ascii="宋体" w:hAnsi="宋体" w:cs="Calibri"/>
                <w:kern w:val="0"/>
                <w:sz w:val="20"/>
                <w:szCs w:val="20"/>
              </w:rPr>
              <w:t>日至</w:t>
            </w:r>
            <w:r>
              <w:rPr>
                <w:rFonts w:hint="eastAsia" w:ascii="宋体" w:hAnsi="宋体" w:cs="Calibri"/>
                <w:kern w:val="0"/>
                <w:sz w:val="20"/>
                <w:szCs w:val="20"/>
                <w:u w:val="single"/>
              </w:rPr>
              <w:t>202</w:t>
            </w:r>
            <w:r>
              <w:rPr>
                <w:rFonts w:hint="eastAsia" w:ascii="宋体" w:hAnsi="宋体" w:cs="Calibri"/>
                <w:kern w:val="0"/>
                <w:sz w:val="20"/>
                <w:szCs w:val="20"/>
                <w:u w:val="single"/>
                <w:lang w:val="en-US" w:eastAsia="zh-CN"/>
              </w:rPr>
              <w:t>1</w:t>
            </w:r>
            <w:r>
              <w:rPr>
                <w:rFonts w:hint="eastAsia" w:ascii="宋体" w:hAnsi="宋体" w:cs="Calibri"/>
                <w:kern w:val="0"/>
                <w:sz w:val="20"/>
                <w:szCs w:val="20"/>
              </w:rPr>
              <w:t>年</w:t>
            </w:r>
            <w:r>
              <w:rPr>
                <w:rFonts w:hint="eastAsia" w:ascii="宋体" w:hAnsi="宋体" w:cs="Calibri"/>
                <w:kern w:val="0"/>
                <w:sz w:val="20"/>
                <w:szCs w:val="20"/>
                <w:u w:val="single"/>
              </w:rPr>
              <w:t>12</w:t>
            </w:r>
            <w:r>
              <w:rPr>
                <w:rFonts w:hint="eastAsia" w:ascii="宋体" w:hAnsi="宋体" w:cs="Calibri"/>
                <w:kern w:val="0"/>
                <w:sz w:val="20"/>
                <w:szCs w:val="20"/>
              </w:rPr>
              <w:t>月</w:t>
            </w:r>
            <w:r>
              <w:rPr>
                <w:rFonts w:hint="eastAsia" w:ascii="宋体" w:hAnsi="宋体" w:cs="Calibri"/>
                <w:kern w:val="0"/>
                <w:sz w:val="20"/>
                <w:szCs w:val="20"/>
                <w:u w:val="single"/>
              </w:rPr>
              <w:t>31</w:t>
            </w:r>
            <w:r>
              <w:rPr>
                <w:rFonts w:hint="eastAsia" w:ascii="宋体" w:hAnsi="宋体" w:cs="Calibri"/>
                <w:kern w:val="0"/>
                <w:sz w:val="20"/>
                <w:szCs w:val="20"/>
              </w:rPr>
              <w:t>日</w:t>
            </w:r>
          </w:p>
        </w:tc>
      </w:tr>
      <w:tr>
        <w:tblPrEx>
          <w:tblLayout w:type="fixed"/>
          <w:tblCellMar>
            <w:top w:w="0" w:type="dxa"/>
            <w:left w:w="108" w:type="dxa"/>
            <w:bottom w:w="0" w:type="dxa"/>
            <w:right w:w="108" w:type="dxa"/>
          </w:tblCellMar>
        </w:tblPrEx>
        <w:trPr>
          <w:trHeight w:val="479"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招标范围</w:t>
            </w:r>
          </w:p>
        </w:tc>
        <w:tc>
          <w:tcPr>
            <w:tcW w:w="5954" w:type="dxa"/>
            <w:tcBorders>
              <w:top w:val="nil"/>
              <w:left w:val="nil"/>
              <w:bottom w:val="single" w:color="auto" w:sz="4" w:space="0"/>
              <w:right w:val="single" w:color="auto" w:sz="8" w:space="0"/>
            </w:tcBorders>
            <w:shd w:val="clear" w:color="auto" w:fill="auto"/>
            <w:vAlign w:val="center"/>
          </w:tcPr>
          <w:p>
            <w:pPr>
              <w:widowControl/>
              <w:tabs>
                <w:tab w:val="left" w:pos="764"/>
              </w:tabs>
              <w:kinsoku w:val="0"/>
              <w:overflowPunct w:val="0"/>
              <w:spacing w:before="19" w:line="500" w:lineRule="exact"/>
              <w:rPr>
                <w:rFonts w:asciiTheme="minorEastAsia" w:hAnsiTheme="minorEastAsia" w:eastAsiaTheme="minorEastAsia"/>
                <w:spacing w:val="-1"/>
                <w:sz w:val="20"/>
                <w:szCs w:val="20"/>
              </w:rPr>
            </w:pPr>
            <w:r>
              <w:rPr>
                <w:rFonts w:hint="eastAsia" w:ascii="宋体" w:hAnsi="宋体" w:cs="宋体"/>
                <w:kern w:val="0"/>
                <w:sz w:val="20"/>
                <w:szCs w:val="20"/>
              </w:rPr>
              <w:t>1.</w:t>
            </w:r>
            <w:r>
              <w:rPr>
                <w:rFonts w:hint="eastAsia" w:asciiTheme="minorEastAsia" w:hAnsiTheme="minorEastAsia" w:eastAsiaTheme="minorEastAsia"/>
                <w:spacing w:val="-1"/>
                <w:sz w:val="20"/>
                <w:szCs w:val="20"/>
              </w:rPr>
              <w:t>10KV电压等级202</w:t>
            </w:r>
            <w:r>
              <w:rPr>
                <w:rFonts w:hint="eastAsia" w:asciiTheme="minorEastAsia" w:hAnsiTheme="minorEastAsia" w:eastAsiaTheme="minorEastAsia"/>
                <w:spacing w:val="-1"/>
                <w:sz w:val="20"/>
                <w:szCs w:val="20"/>
                <w:lang w:val="en-US" w:eastAsia="zh-CN"/>
              </w:rPr>
              <w:t>1</w:t>
            </w:r>
            <w:r>
              <w:rPr>
                <w:rFonts w:hint="eastAsia" w:asciiTheme="minorEastAsia" w:hAnsiTheme="minorEastAsia" w:eastAsiaTheme="minorEastAsia"/>
                <w:spacing w:val="-1"/>
                <w:sz w:val="20"/>
                <w:szCs w:val="20"/>
              </w:rPr>
              <w:t>年电量约</w:t>
            </w:r>
            <w:r>
              <w:rPr>
                <w:rFonts w:hint="eastAsia" w:asciiTheme="minorEastAsia" w:hAnsiTheme="minorEastAsia" w:eastAsiaTheme="minorEastAsia"/>
                <w:spacing w:val="-1"/>
                <w:sz w:val="20"/>
                <w:szCs w:val="20"/>
                <w:lang w:val="en-US" w:eastAsia="zh-CN"/>
              </w:rPr>
              <w:t>29193</w:t>
            </w:r>
            <w:r>
              <w:rPr>
                <w:rFonts w:hint="eastAsia" w:asciiTheme="minorEastAsia" w:hAnsiTheme="minorEastAsia" w:eastAsiaTheme="minorEastAsia"/>
                <w:spacing w:val="-1"/>
                <w:sz w:val="20"/>
                <w:szCs w:val="20"/>
              </w:rPr>
              <w:t>万千瓦时；</w:t>
            </w:r>
          </w:p>
          <w:p>
            <w:pPr>
              <w:widowControl/>
              <w:tabs>
                <w:tab w:val="left" w:pos="764"/>
              </w:tabs>
              <w:kinsoku w:val="0"/>
              <w:overflowPunct w:val="0"/>
              <w:spacing w:before="19" w:line="500" w:lineRule="exact"/>
              <w:rPr>
                <w:rFonts w:asciiTheme="minorEastAsia" w:hAnsiTheme="minorEastAsia" w:eastAsiaTheme="minorEastAsia"/>
                <w:spacing w:val="-1"/>
                <w:sz w:val="20"/>
                <w:szCs w:val="20"/>
              </w:rPr>
            </w:pPr>
            <w:r>
              <w:rPr>
                <w:rFonts w:hint="eastAsia" w:asciiTheme="minorEastAsia" w:hAnsiTheme="minorEastAsia" w:eastAsiaTheme="minorEastAsia"/>
                <w:spacing w:val="-1"/>
                <w:sz w:val="20"/>
                <w:szCs w:val="20"/>
              </w:rPr>
              <w:t>2.35KV电压等级202</w:t>
            </w:r>
            <w:r>
              <w:rPr>
                <w:rFonts w:hint="eastAsia" w:asciiTheme="minorEastAsia" w:hAnsiTheme="minorEastAsia" w:eastAsiaTheme="minorEastAsia"/>
                <w:spacing w:val="-1"/>
                <w:sz w:val="20"/>
                <w:szCs w:val="20"/>
                <w:lang w:val="en-US" w:eastAsia="zh-CN"/>
              </w:rPr>
              <w:t>1</w:t>
            </w:r>
            <w:r>
              <w:rPr>
                <w:rFonts w:hint="eastAsia" w:asciiTheme="minorEastAsia" w:hAnsiTheme="minorEastAsia" w:eastAsiaTheme="minorEastAsia"/>
                <w:spacing w:val="-1"/>
                <w:sz w:val="20"/>
                <w:szCs w:val="20"/>
              </w:rPr>
              <w:t xml:space="preserve">年电量约 </w:t>
            </w:r>
            <w:r>
              <w:rPr>
                <w:rFonts w:hint="eastAsia" w:asciiTheme="minorEastAsia" w:hAnsiTheme="minorEastAsia" w:eastAsiaTheme="minorEastAsia"/>
                <w:spacing w:val="-1"/>
                <w:sz w:val="20"/>
                <w:szCs w:val="20"/>
                <w:lang w:val="en-US" w:eastAsia="zh-CN"/>
              </w:rPr>
              <w:t>70</w:t>
            </w:r>
            <w:r>
              <w:rPr>
                <w:rFonts w:hint="eastAsia" w:asciiTheme="minorEastAsia" w:hAnsiTheme="minorEastAsia" w:eastAsiaTheme="minorEastAsia"/>
                <w:spacing w:val="-1"/>
                <w:sz w:val="20"/>
                <w:szCs w:val="20"/>
              </w:rPr>
              <w:t>0万千瓦时。</w:t>
            </w:r>
          </w:p>
        </w:tc>
      </w:tr>
      <w:tr>
        <w:tblPrEx>
          <w:tblLayout w:type="fixed"/>
          <w:tblCellMar>
            <w:top w:w="0" w:type="dxa"/>
            <w:left w:w="108" w:type="dxa"/>
            <w:bottom w:w="0" w:type="dxa"/>
            <w:right w:w="108" w:type="dxa"/>
          </w:tblCellMar>
        </w:tblPrEx>
        <w:trPr>
          <w:trHeight w:val="49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资格审查方式</w:t>
            </w:r>
          </w:p>
        </w:tc>
        <w:tc>
          <w:tcPr>
            <w:tcW w:w="5954" w:type="dxa"/>
            <w:tcBorders>
              <w:top w:val="nil"/>
              <w:left w:val="nil"/>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资格后审</w:t>
            </w:r>
          </w:p>
        </w:tc>
      </w:tr>
      <w:tr>
        <w:tblPrEx>
          <w:tblLayout w:type="fixed"/>
          <w:tblCellMar>
            <w:top w:w="0" w:type="dxa"/>
            <w:left w:w="108" w:type="dxa"/>
            <w:bottom w:w="0" w:type="dxa"/>
            <w:right w:w="108" w:type="dxa"/>
          </w:tblCellMar>
        </w:tblPrEx>
        <w:trPr>
          <w:trHeight w:val="49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结算方式</w:t>
            </w:r>
          </w:p>
        </w:tc>
        <w:tc>
          <w:tcPr>
            <w:tcW w:w="5954" w:type="dxa"/>
            <w:tcBorders>
              <w:top w:val="nil"/>
              <w:left w:val="nil"/>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由中标人与企业自行结算</w:t>
            </w:r>
          </w:p>
        </w:tc>
      </w:tr>
      <w:tr>
        <w:tblPrEx>
          <w:tblLayout w:type="fixed"/>
          <w:tblCellMar>
            <w:top w:w="0" w:type="dxa"/>
            <w:left w:w="108" w:type="dxa"/>
            <w:bottom w:w="0" w:type="dxa"/>
            <w:right w:w="108" w:type="dxa"/>
          </w:tblCellMar>
        </w:tblPrEx>
        <w:trPr>
          <w:trHeight w:val="403"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投标预备会</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ascii="宋体" w:hAnsi="宋体" w:cs="宋体"/>
                <w:color w:val="000000"/>
                <w:kern w:val="0"/>
                <w:sz w:val="20"/>
                <w:szCs w:val="20"/>
              </w:rPr>
              <w:t>无</w:t>
            </w: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投标货币</w:t>
            </w:r>
          </w:p>
        </w:tc>
        <w:tc>
          <w:tcPr>
            <w:tcW w:w="5954" w:type="dxa"/>
            <w:tcBorders>
              <w:top w:val="nil"/>
              <w:left w:val="nil"/>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人民币</w:t>
            </w:r>
          </w:p>
        </w:tc>
      </w:tr>
      <w:tr>
        <w:tblPrEx>
          <w:tblLayout w:type="fixed"/>
          <w:tblCellMar>
            <w:top w:w="0" w:type="dxa"/>
            <w:left w:w="108" w:type="dxa"/>
            <w:bottom w:w="0" w:type="dxa"/>
            <w:right w:w="108" w:type="dxa"/>
          </w:tblCellMar>
        </w:tblPrEx>
        <w:trPr>
          <w:trHeight w:val="40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投标有效期</w:t>
            </w:r>
          </w:p>
        </w:tc>
        <w:tc>
          <w:tcPr>
            <w:tcW w:w="5954" w:type="dxa"/>
            <w:tcBorders>
              <w:top w:val="nil"/>
              <w:left w:val="nil"/>
              <w:bottom w:val="nil"/>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为：</w:t>
            </w:r>
            <w:r>
              <w:rPr>
                <w:rFonts w:hint="eastAsia" w:cs="宋体" w:asciiTheme="minorEastAsia" w:hAnsiTheme="minorEastAsia" w:eastAsiaTheme="minorEastAsia"/>
                <w:kern w:val="0"/>
                <w:sz w:val="20"/>
                <w:szCs w:val="20"/>
                <w:u w:val="single"/>
              </w:rPr>
              <w:t>90个</w:t>
            </w:r>
            <w:r>
              <w:rPr>
                <w:rFonts w:hint="eastAsia" w:cs="宋体" w:asciiTheme="minorEastAsia" w:hAnsiTheme="minorEastAsia" w:eastAsiaTheme="minorEastAsia"/>
                <w:kern w:val="0"/>
                <w:sz w:val="20"/>
                <w:szCs w:val="20"/>
              </w:rPr>
              <w:t>日历天（从投标截止之日算起）</w:t>
            </w:r>
          </w:p>
        </w:tc>
      </w:tr>
      <w:tr>
        <w:tblPrEx>
          <w:tblLayout w:type="fixed"/>
          <w:tblCellMar>
            <w:top w:w="0" w:type="dxa"/>
            <w:left w:w="108" w:type="dxa"/>
            <w:bottom w:w="0" w:type="dxa"/>
            <w:right w:w="108" w:type="dxa"/>
          </w:tblCellMar>
        </w:tblPrEx>
        <w:trPr>
          <w:trHeight w:val="57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13</w:t>
            </w:r>
          </w:p>
        </w:tc>
        <w:tc>
          <w:tcPr>
            <w:tcW w:w="1701"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投标担保及履约担保</w:t>
            </w:r>
          </w:p>
        </w:tc>
        <w:tc>
          <w:tcPr>
            <w:tcW w:w="5954"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投标保证金的数额：</w:t>
            </w:r>
            <w:r>
              <w:rPr>
                <w:rFonts w:hint="eastAsia" w:cs="宋体" w:asciiTheme="minorEastAsia" w:hAnsiTheme="minorEastAsia" w:eastAsiaTheme="minorEastAsia"/>
                <w:kern w:val="0"/>
                <w:sz w:val="20"/>
                <w:szCs w:val="20"/>
                <w:u w:val="single"/>
              </w:rPr>
              <w:t>无</w:t>
            </w:r>
          </w:p>
        </w:tc>
      </w:tr>
      <w:tr>
        <w:tblPrEx>
          <w:tblLayout w:type="fixed"/>
          <w:tblCellMar>
            <w:top w:w="0" w:type="dxa"/>
            <w:left w:w="108" w:type="dxa"/>
            <w:bottom w:w="0" w:type="dxa"/>
            <w:right w:w="108" w:type="dxa"/>
          </w:tblCellMar>
        </w:tblPrEx>
        <w:trPr>
          <w:trHeight w:val="64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14</w:t>
            </w:r>
          </w:p>
        </w:tc>
        <w:tc>
          <w:tcPr>
            <w:tcW w:w="1701"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招标文件的获取</w:t>
            </w:r>
          </w:p>
        </w:tc>
        <w:tc>
          <w:tcPr>
            <w:tcW w:w="5954"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投标人于</w:t>
            </w:r>
            <w:r>
              <w:rPr>
                <w:rFonts w:hint="eastAsia" w:cs="宋体" w:asciiTheme="minorEastAsia" w:hAnsiTheme="minorEastAsia" w:eastAsiaTheme="minorEastAsia"/>
                <w:color w:val="000000" w:themeColor="text1"/>
                <w:kern w:val="0"/>
                <w:sz w:val="20"/>
                <w:szCs w:val="20"/>
                <w:lang w:eastAsia="zh-CN"/>
                <w14:textFill>
                  <w14:solidFill>
                    <w14:schemeClr w14:val="tx1"/>
                  </w14:solidFill>
                </w14:textFill>
              </w:rPr>
              <w:t>2021</w:t>
            </w:r>
            <w:r>
              <w:rPr>
                <w:rFonts w:hint="eastAsia" w:cs="宋体" w:asciiTheme="minorEastAsia" w:hAnsiTheme="minorEastAsia" w:eastAsiaTheme="minorEastAsia"/>
                <w:color w:val="000000" w:themeColor="text1"/>
                <w:kern w:val="0"/>
                <w:sz w:val="20"/>
                <w:szCs w:val="20"/>
                <w14:textFill>
                  <w14:solidFill>
                    <w14:schemeClr w14:val="tx1"/>
                  </w14:solidFill>
                </w14:textFill>
              </w:rPr>
              <w:t>年1</w:t>
            </w:r>
            <w:r>
              <w:rPr>
                <w:rFonts w:hint="eastAsia" w:cs="宋体" w:asciiTheme="minorEastAsia" w:hAnsiTheme="minorEastAsia" w:eastAsiaTheme="minorEastAsia"/>
                <w:color w:val="000000" w:themeColor="text1"/>
                <w:kern w:val="0"/>
                <w:sz w:val="20"/>
                <w:szCs w:val="20"/>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 w:val="20"/>
                <w:szCs w:val="20"/>
                <w14:textFill>
                  <w14:solidFill>
                    <w14:schemeClr w14:val="tx1"/>
                  </w14:solidFill>
                </w14:textFill>
              </w:rPr>
              <w:t>月</w:t>
            </w:r>
            <w:r>
              <w:rPr>
                <w:rFonts w:hint="eastAsia" w:cs="宋体" w:asciiTheme="minorEastAsia" w:hAnsiTheme="minorEastAsia" w:eastAsiaTheme="minorEastAsia"/>
                <w:color w:val="000000" w:themeColor="text1"/>
                <w:kern w:val="0"/>
                <w:sz w:val="20"/>
                <w:szCs w:val="20"/>
                <w:lang w:val="en-US" w:eastAsia="zh-CN"/>
                <w14:textFill>
                  <w14:solidFill>
                    <w14:schemeClr w14:val="tx1"/>
                  </w14:solidFill>
                </w14:textFill>
              </w:rPr>
              <w:t>27</w:t>
            </w:r>
            <w:r>
              <w:rPr>
                <w:rFonts w:hint="eastAsia" w:cs="宋体" w:asciiTheme="minorEastAsia" w:hAnsiTheme="minorEastAsia" w:eastAsiaTheme="minorEastAsia"/>
                <w:color w:val="000000" w:themeColor="text1"/>
                <w:kern w:val="0"/>
                <w:sz w:val="20"/>
                <w:szCs w:val="20"/>
                <w14:textFill>
                  <w14:solidFill>
                    <w14:schemeClr w14:val="tx1"/>
                  </w14:solidFill>
                </w14:textFill>
              </w:rPr>
              <w:t>日17：00前到重庆市北部新区黄山大道中段60号1207室购买《招标文件》，每份文件售价￥500.00元。</w:t>
            </w:r>
          </w:p>
        </w:tc>
      </w:tr>
      <w:tr>
        <w:tblPrEx>
          <w:tblLayout w:type="fixed"/>
          <w:tblCellMar>
            <w:top w:w="0" w:type="dxa"/>
            <w:left w:w="108" w:type="dxa"/>
            <w:bottom w:w="0" w:type="dxa"/>
            <w:right w:w="108" w:type="dxa"/>
          </w:tblCellMar>
        </w:tblPrEx>
        <w:trPr>
          <w:trHeight w:val="70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 xml:space="preserve">答疑 </w:t>
            </w:r>
          </w:p>
        </w:tc>
        <w:tc>
          <w:tcPr>
            <w:tcW w:w="5954" w:type="dxa"/>
            <w:tcBorders>
              <w:top w:val="nil"/>
              <w:left w:val="nil"/>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递交书面质疑截止时间：</w:t>
            </w:r>
            <w:r>
              <w:rPr>
                <w:rFonts w:hint="eastAsia" w:cs="宋体" w:asciiTheme="minorEastAsia" w:hAnsiTheme="minorEastAsia" w:eastAsiaTheme="minorEastAsia"/>
                <w:color w:val="000000" w:themeColor="text1"/>
                <w:kern w:val="0"/>
                <w:sz w:val="20"/>
                <w:szCs w:val="20"/>
                <w:u w:val="single"/>
                <w:lang w:eastAsia="zh-CN"/>
                <w14:textFill>
                  <w14:solidFill>
                    <w14:schemeClr w14:val="tx1"/>
                  </w14:solidFill>
                </w14:textFill>
              </w:rPr>
              <w:t>2020</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年</w:t>
            </w:r>
            <w:r>
              <w:rPr>
                <w:rFonts w:hint="eastAsia" w:cs="宋体" w:asciiTheme="minorEastAsia" w:hAnsiTheme="minorEastAsia" w:eastAsiaTheme="minorEastAsia"/>
                <w:color w:val="000000" w:themeColor="text1"/>
                <w:kern w:val="0"/>
                <w:sz w:val="20"/>
                <w:szCs w:val="20"/>
                <w:u w:val="single"/>
                <w:lang w:val="en-US" w:eastAsia="zh-CN"/>
                <w14:textFill>
                  <w14:solidFill>
                    <w14:schemeClr w14:val="tx1"/>
                  </w14:solidFill>
                </w14:textFill>
              </w:rPr>
              <w:t>11</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月</w:t>
            </w:r>
            <w:r>
              <w:rPr>
                <w:rFonts w:hint="eastAsia" w:cs="宋体" w:asciiTheme="minorEastAsia" w:hAnsiTheme="minorEastAsia" w:eastAsiaTheme="minorEastAsia"/>
                <w:color w:val="000000" w:themeColor="text1"/>
                <w:kern w:val="0"/>
                <w:sz w:val="20"/>
                <w:szCs w:val="20"/>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8日17：00时前</w:t>
            </w:r>
            <w:r>
              <w:rPr>
                <w:rFonts w:hint="eastAsia" w:cs="宋体" w:asciiTheme="minorEastAsia" w:hAnsiTheme="minorEastAsia" w:eastAsiaTheme="minorEastAsia"/>
                <w:color w:val="000000" w:themeColor="text1"/>
                <w:kern w:val="0"/>
                <w:sz w:val="20"/>
                <w:szCs w:val="20"/>
                <w14:textFill>
                  <w14:solidFill>
                    <w14:schemeClr w14:val="tx1"/>
                  </w14:solidFill>
                </w14:textFill>
              </w:rPr>
              <w:t>（如果有）；领取答疑时间：</w:t>
            </w:r>
            <w:r>
              <w:rPr>
                <w:rFonts w:hint="eastAsia" w:cs="宋体" w:asciiTheme="minorEastAsia" w:hAnsiTheme="minorEastAsia" w:eastAsiaTheme="minorEastAsia"/>
                <w:color w:val="000000" w:themeColor="text1"/>
                <w:kern w:val="0"/>
                <w:sz w:val="20"/>
                <w:szCs w:val="20"/>
                <w:u w:val="single"/>
                <w:lang w:eastAsia="zh-CN"/>
                <w14:textFill>
                  <w14:solidFill>
                    <w14:schemeClr w14:val="tx1"/>
                  </w14:solidFill>
                </w14:textFill>
              </w:rPr>
              <w:t>2020</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年</w:t>
            </w:r>
            <w:r>
              <w:rPr>
                <w:rFonts w:cs="宋体" w:asciiTheme="minorEastAsia" w:hAnsiTheme="minorEastAsia" w:eastAsiaTheme="minorEastAsia"/>
                <w:color w:val="000000" w:themeColor="text1"/>
                <w:kern w:val="0"/>
                <w:sz w:val="20"/>
                <w:szCs w:val="20"/>
                <w:u w:val="single"/>
                <w14:textFill>
                  <w14:solidFill>
                    <w14:schemeClr w14:val="tx1"/>
                  </w14:solidFill>
                </w14:textFill>
              </w:rPr>
              <w:t>1</w:t>
            </w:r>
            <w:r>
              <w:rPr>
                <w:rFonts w:hint="eastAsia" w:cs="宋体" w:asciiTheme="minorEastAsia" w:hAnsiTheme="minorEastAsia" w:eastAsiaTheme="minorEastAsia"/>
                <w:color w:val="000000" w:themeColor="text1"/>
                <w:kern w:val="0"/>
                <w:sz w:val="20"/>
                <w:szCs w:val="20"/>
                <w:u w:val="single"/>
                <w:lang w:val="en-US" w:eastAsia="zh-CN"/>
                <w14:textFill>
                  <w14:solidFill>
                    <w14:schemeClr w14:val="tx1"/>
                  </w14:solidFill>
                </w14:textFill>
              </w:rPr>
              <w:t>1</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月</w:t>
            </w:r>
            <w:r>
              <w:rPr>
                <w:rFonts w:hint="eastAsia" w:cs="宋体" w:asciiTheme="minorEastAsia" w:hAnsiTheme="minorEastAsia" w:eastAsiaTheme="minorEastAsia"/>
                <w:color w:val="000000" w:themeColor="text1"/>
                <w:kern w:val="0"/>
                <w:sz w:val="20"/>
                <w:szCs w:val="20"/>
                <w:u w:val="single"/>
                <w:lang w:val="en-US" w:eastAsia="zh-CN"/>
                <w14:textFill>
                  <w14:solidFill>
                    <w14:schemeClr w14:val="tx1"/>
                  </w14:solidFill>
                </w14:textFill>
              </w:rPr>
              <w:t>2</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9日17：00时前</w:t>
            </w:r>
            <w:r>
              <w:rPr>
                <w:rFonts w:hint="eastAsia" w:cs="宋体" w:asciiTheme="minorEastAsia" w:hAnsiTheme="minorEastAsia" w:eastAsiaTheme="minorEastAsia"/>
                <w:color w:val="000000" w:themeColor="text1"/>
                <w:kern w:val="0"/>
                <w:sz w:val="20"/>
                <w:szCs w:val="20"/>
                <w14:textFill>
                  <w14:solidFill>
                    <w14:schemeClr w14:val="tx1"/>
                  </w14:solidFill>
                </w14:textFill>
              </w:rPr>
              <w:t>（如果有）</w:t>
            </w:r>
          </w:p>
        </w:tc>
      </w:tr>
      <w:tr>
        <w:tblPrEx>
          <w:tblLayout w:type="fixed"/>
          <w:tblCellMar>
            <w:top w:w="0" w:type="dxa"/>
            <w:left w:w="108" w:type="dxa"/>
            <w:bottom w:w="0" w:type="dxa"/>
            <w:right w:w="108" w:type="dxa"/>
          </w:tblCellMar>
        </w:tblPrEx>
        <w:trPr>
          <w:trHeight w:val="63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投标文件组成</w:t>
            </w:r>
          </w:p>
        </w:tc>
        <w:tc>
          <w:tcPr>
            <w:tcW w:w="5954" w:type="dxa"/>
            <w:tcBorders>
              <w:top w:val="nil"/>
              <w:left w:val="nil"/>
              <w:bottom w:val="nil"/>
              <w:right w:val="single" w:color="auto" w:sz="8" w:space="0"/>
            </w:tcBorders>
            <w:shd w:val="clear" w:color="auto" w:fill="auto"/>
            <w:vAlign w:val="center"/>
          </w:tcPr>
          <w:p>
            <w:pPr>
              <w:widowControl/>
              <w:jc w:val="left"/>
              <w:rPr>
                <w:rFonts w:cs="宋体" w:asciiTheme="minorEastAsia" w:hAnsiTheme="minorEastAsia" w:eastAsia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《招标文件》第四部分规定的内容及构成投标文件的其他材料</w:t>
            </w:r>
          </w:p>
        </w:tc>
      </w:tr>
      <w:tr>
        <w:tblPrEx>
          <w:tblLayout w:type="fixed"/>
          <w:tblCellMar>
            <w:top w:w="0" w:type="dxa"/>
            <w:left w:w="108" w:type="dxa"/>
            <w:bottom w:w="0" w:type="dxa"/>
            <w:right w:w="108" w:type="dxa"/>
          </w:tblCellMar>
        </w:tblPrEx>
        <w:trPr>
          <w:trHeight w:val="390"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17</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投标文件提交地点及截止时间</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收件人：</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重庆盛普物资有限公司</w:t>
            </w:r>
          </w:p>
        </w:tc>
      </w:tr>
      <w:tr>
        <w:tblPrEx>
          <w:tblLayout w:type="fixed"/>
          <w:tblCellMar>
            <w:top w:w="0" w:type="dxa"/>
            <w:left w:w="108" w:type="dxa"/>
            <w:bottom w:w="0" w:type="dxa"/>
            <w:right w:w="108" w:type="dxa"/>
          </w:tblCellMar>
        </w:tblPrEx>
        <w:trPr>
          <w:trHeight w:val="390"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kern w:val="0"/>
                <w:sz w:val="20"/>
                <w:szCs w:val="20"/>
              </w:rPr>
            </w:pPr>
          </w:p>
        </w:tc>
        <w:tc>
          <w:tcPr>
            <w:tcW w:w="5954" w:type="dxa"/>
            <w:tcBorders>
              <w:top w:val="nil"/>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地点:</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重庆市北部新区黄山大道中段60号1207室</w:t>
            </w:r>
          </w:p>
        </w:tc>
      </w:tr>
      <w:tr>
        <w:tblPrEx>
          <w:tblLayout w:type="fixed"/>
          <w:tblCellMar>
            <w:top w:w="0" w:type="dxa"/>
            <w:left w:w="108" w:type="dxa"/>
            <w:bottom w:w="0" w:type="dxa"/>
            <w:right w:w="108" w:type="dxa"/>
          </w:tblCellMar>
        </w:tblPrEx>
        <w:trPr>
          <w:trHeight w:val="390"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kern w:val="0"/>
                <w:sz w:val="20"/>
                <w:szCs w:val="20"/>
              </w:rPr>
            </w:pPr>
          </w:p>
        </w:tc>
        <w:tc>
          <w:tcPr>
            <w:tcW w:w="5954" w:type="dxa"/>
            <w:tcBorders>
              <w:top w:val="nil"/>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color w:val="000000" w:themeColor="text1"/>
                <w:kern w:val="0"/>
                <w:sz w:val="20"/>
                <w:szCs w:val="20"/>
                <w14:textFill>
                  <w14:solidFill>
                    <w14:schemeClr w14:val="tx1"/>
                  </w14:solidFill>
                </w14:textFill>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时间（北京时间）:</w:t>
            </w:r>
            <w:r>
              <w:rPr>
                <w:rFonts w:hint="eastAsia" w:cs="宋体" w:asciiTheme="minorEastAsia" w:hAnsiTheme="minorEastAsia" w:eastAsiaTheme="minorEastAsia"/>
                <w:color w:val="000000" w:themeColor="text1"/>
                <w:kern w:val="0"/>
                <w:sz w:val="20"/>
                <w:szCs w:val="20"/>
                <w:u w:val="single"/>
                <w:lang w:eastAsia="zh-CN"/>
                <w14:textFill>
                  <w14:solidFill>
                    <w14:schemeClr w14:val="tx1"/>
                  </w14:solidFill>
                </w14:textFill>
              </w:rPr>
              <w:t>2020</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年12月</w:t>
            </w:r>
            <w:r>
              <w:rPr>
                <w:rFonts w:hint="eastAsia" w:cs="宋体" w:asciiTheme="minorEastAsia" w:hAnsiTheme="minorEastAsia" w:eastAsiaTheme="minorEastAsia"/>
                <w:color w:val="000000" w:themeColor="text1"/>
                <w:kern w:val="0"/>
                <w:sz w:val="20"/>
                <w:szCs w:val="20"/>
                <w:u w:val="single"/>
                <w:lang w:val="en-US" w:eastAsia="zh-CN"/>
                <w14:textFill>
                  <w14:solidFill>
                    <w14:schemeClr w14:val="tx1"/>
                  </w14:solidFill>
                </w14:textFill>
              </w:rPr>
              <w:t>02</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日14：00时止</w:t>
            </w:r>
          </w:p>
        </w:tc>
      </w:tr>
      <w:tr>
        <w:tblPrEx>
          <w:tblLayout w:type="fixed"/>
          <w:tblCellMar>
            <w:top w:w="0" w:type="dxa"/>
            <w:left w:w="108" w:type="dxa"/>
            <w:bottom w:w="0" w:type="dxa"/>
            <w:right w:w="108" w:type="dxa"/>
          </w:tblCellMar>
        </w:tblPrEx>
        <w:trPr>
          <w:trHeight w:val="615"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18</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投标报价</w:t>
            </w:r>
          </w:p>
        </w:tc>
        <w:tc>
          <w:tcPr>
            <w:tcW w:w="5954" w:type="dxa"/>
            <w:tcBorders>
              <w:top w:val="single" w:color="auto" w:sz="4" w:space="0"/>
              <w:left w:val="single" w:color="auto" w:sz="4" w:space="0"/>
              <w:bottom w:val="nil"/>
              <w:right w:val="single" w:color="auto" w:sz="4"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1、投标人应严格按招标文件要求填写《投标报价表》，</w:t>
            </w:r>
            <w:r>
              <w:rPr>
                <w:rFonts w:hint="eastAsia" w:cs="宋体" w:asciiTheme="minorEastAsia" w:hAnsiTheme="minorEastAsia" w:eastAsiaTheme="minorEastAsia"/>
                <w:b/>
                <w:kern w:val="0"/>
                <w:sz w:val="20"/>
                <w:szCs w:val="20"/>
              </w:rPr>
              <w:t>不得对招标文件规定的《投标报价表》格式进行修改及转换</w:t>
            </w:r>
            <w:r>
              <w:rPr>
                <w:rFonts w:hint="eastAsia" w:cs="宋体" w:asciiTheme="minorEastAsia" w:hAnsiTheme="minorEastAsia" w:eastAsiaTheme="minorEastAsia"/>
                <w:kern w:val="0"/>
                <w:sz w:val="20"/>
                <w:szCs w:val="20"/>
              </w:rPr>
              <w:t>；</w:t>
            </w:r>
          </w:p>
        </w:tc>
      </w:tr>
      <w:tr>
        <w:tblPrEx>
          <w:tblLayout w:type="fixed"/>
          <w:tblCellMar>
            <w:top w:w="0" w:type="dxa"/>
            <w:left w:w="108" w:type="dxa"/>
            <w:bottom w:w="0" w:type="dxa"/>
            <w:right w:w="108" w:type="dxa"/>
          </w:tblCellMar>
        </w:tblPrEx>
        <w:trPr>
          <w:trHeight w:val="615"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kern w:val="0"/>
                <w:sz w:val="20"/>
                <w:szCs w:val="20"/>
              </w:rPr>
            </w:pPr>
          </w:p>
        </w:tc>
        <w:tc>
          <w:tcPr>
            <w:tcW w:w="5954" w:type="dxa"/>
            <w:tcBorders>
              <w:top w:val="nil"/>
              <w:left w:val="single" w:color="auto" w:sz="4" w:space="0"/>
              <w:bottom w:val="single" w:color="auto" w:sz="4" w:space="0"/>
              <w:right w:val="single" w:color="auto" w:sz="4"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2、如有疑问，投标人应于本须知16“答疑”项中规定的时间前书面通知招标人核查，以便招标人及时予以更正；</w:t>
            </w:r>
          </w:p>
        </w:tc>
      </w:tr>
      <w:tr>
        <w:tblPrEx>
          <w:tblLayout w:type="fixed"/>
          <w:tblCellMar>
            <w:top w:w="0" w:type="dxa"/>
            <w:left w:w="108" w:type="dxa"/>
            <w:bottom w:w="0" w:type="dxa"/>
            <w:right w:w="108" w:type="dxa"/>
          </w:tblCellMar>
        </w:tblPrEx>
        <w:trPr>
          <w:trHeight w:val="885"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kern w:val="0"/>
                <w:sz w:val="20"/>
                <w:szCs w:val="20"/>
              </w:rPr>
            </w:pP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3、投标报价硬盘中的数据必须与书面投标报价单一致，若不一致，以书面报价单为准；</w:t>
            </w:r>
          </w:p>
          <w:p>
            <w:pPr>
              <w:widowControl/>
              <w:rPr>
                <w:rFonts w:cs="宋体" w:asciiTheme="minorEastAsia" w:hAnsiTheme="minorEastAsia" w:eastAsiaTheme="minorEastAsia"/>
                <w:b/>
                <w:kern w:val="0"/>
                <w:sz w:val="20"/>
                <w:szCs w:val="20"/>
                <w:u w:val="single"/>
              </w:rPr>
            </w:pPr>
            <w:r>
              <w:rPr>
                <w:rFonts w:hint="eastAsia" w:cs="宋体" w:asciiTheme="minorEastAsia" w:hAnsiTheme="minorEastAsia" w:eastAsiaTheme="minorEastAsia"/>
                <w:b/>
                <w:kern w:val="0"/>
                <w:sz w:val="20"/>
                <w:szCs w:val="20"/>
                <w:u w:val="single"/>
              </w:rPr>
              <w:t>4、投标报价为含税价（税率为13%）。</w:t>
            </w:r>
          </w:p>
        </w:tc>
      </w:tr>
      <w:tr>
        <w:tblPrEx>
          <w:tblLayout w:type="fixed"/>
          <w:tblCellMar>
            <w:top w:w="0" w:type="dxa"/>
            <w:left w:w="108" w:type="dxa"/>
            <w:bottom w:w="0" w:type="dxa"/>
            <w:right w:w="108" w:type="dxa"/>
          </w:tblCellMar>
        </w:tblPrEx>
        <w:trPr>
          <w:trHeight w:val="960"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19</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装订及密封要求</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1、投标人应将参与投标的所有文件一并装入信封内，注明单位全称、地址、邮编、开户银行、账号、联系人及联系方式，并在投标截止时间前送达招标人指定地点。</w:t>
            </w:r>
          </w:p>
        </w:tc>
      </w:tr>
      <w:tr>
        <w:tblPrEx>
          <w:tblLayout w:type="fixed"/>
          <w:tblCellMar>
            <w:top w:w="0" w:type="dxa"/>
            <w:left w:w="108" w:type="dxa"/>
            <w:bottom w:w="0" w:type="dxa"/>
            <w:right w:w="108" w:type="dxa"/>
          </w:tblCellMar>
        </w:tblPrEx>
        <w:trPr>
          <w:trHeight w:val="930"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b/>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b/>
                <w:kern w:val="0"/>
                <w:sz w:val="20"/>
                <w:szCs w:val="20"/>
              </w:rPr>
            </w:pPr>
          </w:p>
        </w:tc>
        <w:tc>
          <w:tcPr>
            <w:tcW w:w="5954" w:type="dxa"/>
            <w:tcBorders>
              <w:top w:val="nil"/>
              <w:left w:val="single" w:color="auto" w:sz="4" w:space="0"/>
              <w:bottom w:val="single" w:color="auto" w:sz="4" w:space="0"/>
              <w:right w:val="single" w:color="auto" w:sz="8" w:space="0"/>
            </w:tcBorders>
            <w:shd w:val="clear" w:color="auto" w:fill="auto"/>
            <w:vAlign w:val="center"/>
          </w:tcPr>
          <w:p>
            <w:pPr>
              <w:widowControl/>
              <w:jc w:val="left"/>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2、为方便开标，投标人须将《投标报价表》加盖鲜章的纸质报价表</w:t>
            </w:r>
            <w:r>
              <w:rPr>
                <w:rFonts w:hint="eastAsia" w:cs="宋体" w:asciiTheme="minorEastAsia" w:hAnsiTheme="minorEastAsia" w:eastAsiaTheme="minorEastAsia"/>
                <w:b/>
                <w:kern w:val="0"/>
                <w:sz w:val="20"/>
                <w:szCs w:val="20"/>
                <w:u w:val="single"/>
              </w:rPr>
              <w:t>单独密封</w:t>
            </w:r>
            <w:r>
              <w:rPr>
                <w:rFonts w:hint="eastAsia" w:cs="宋体" w:asciiTheme="minorEastAsia" w:hAnsiTheme="minorEastAsia" w:eastAsiaTheme="minorEastAsia"/>
                <w:kern w:val="0"/>
                <w:sz w:val="20"/>
                <w:szCs w:val="20"/>
              </w:rPr>
              <w:t>，并在信封上注明</w:t>
            </w:r>
            <w:r>
              <w:rPr>
                <w:rFonts w:hint="eastAsia" w:cs="宋体" w:asciiTheme="minorEastAsia" w:hAnsiTheme="minorEastAsia" w:eastAsiaTheme="minorEastAsia"/>
                <w:kern w:val="0"/>
                <w:sz w:val="20"/>
                <w:szCs w:val="20"/>
                <w:u w:val="single"/>
              </w:rPr>
              <w:t>“</w:t>
            </w:r>
            <w:r>
              <w:rPr>
                <w:rFonts w:hint="eastAsia" w:cs="宋体" w:asciiTheme="minorEastAsia" w:hAnsiTheme="minorEastAsia" w:eastAsiaTheme="minorEastAsia"/>
                <w:b/>
                <w:bCs/>
                <w:kern w:val="0"/>
                <w:sz w:val="20"/>
                <w:szCs w:val="20"/>
                <w:u w:val="single"/>
              </w:rPr>
              <w:t>投标报价表，请于开标时启封</w:t>
            </w:r>
            <w:r>
              <w:rPr>
                <w:rFonts w:hint="eastAsia" w:cs="宋体" w:asciiTheme="minorEastAsia" w:hAnsiTheme="minorEastAsia" w:eastAsiaTheme="minorEastAsia"/>
                <w:kern w:val="0"/>
                <w:sz w:val="20"/>
                <w:szCs w:val="20"/>
                <w:u w:val="single"/>
              </w:rPr>
              <w:t>”</w:t>
            </w:r>
            <w:r>
              <w:rPr>
                <w:rFonts w:hint="eastAsia" w:cs="宋体" w:asciiTheme="minorEastAsia" w:hAnsiTheme="minorEastAsia" w:eastAsiaTheme="minorEastAsia"/>
                <w:kern w:val="0"/>
                <w:sz w:val="20"/>
                <w:szCs w:val="20"/>
              </w:rPr>
              <w:t>字样。</w:t>
            </w:r>
          </w:p>
        </w:tc>
      </w:tr>
      <w:tr>
        <w:tblPrEx>
          <w:tblLayout w:type="fixed"/>
          <w:tblCellMar>
            <w:top w:w="0" w:type="dxa"/>
            <w:left w:w="108" w:type="dxa"/>
            <w:bottom w:w="0" w:type="dxa"/>
            <w:right w:w="108" w:type="dxa"/>
          </w:tblCellMar>
        </w:tblPrEx>
        <w:trPr>
          <w:trHeight w:val="465"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20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开标会</w:t>
            </w:r>
          </w:p>
        </w:tc>
        <w:tc>
          <w:tcPr>
            <w:tcW w:w="5954" w:type="dxa"/>
            <w:tcBorders>
              <w:top w:val="nil"/>
              <w:left w:val="nil"/>
              <w:bottom w:val="nil"/>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color w:val="000000" w:themeColor="text1"/>
                <w:kern w:val="0"/>
                <w:sz w:val="20"/>
                <w:szCs w:val="20"/>
                <w14:textFill>
                  <w14:solidFill>
                    <w14:schemeClr w14:val="tx1"/>
                  </w14:solidFill>
                </w14:textFill>
              </w:rPr>
              <w:t>招标人将于北京时间</w:t>
            </w:r>
            <w:r>
              <w:rPr>
                <w:rFonts w:hint="eastAsia" w:cs="宋体" w:asciiTheme="minorEastAsia" w:hAnsiTheme="minorEastAsia" w:eastAsiaTheme="minorEastAsia"/>
                <w:color w:val="000000" w:themeColor="text1"/>
                <w:kern w:val="0"/>
                <w:sz w:val="20"/>
                <w:szCs w:val="20"/>
                <w:u w:val="single"/>
                <w:lang w:eastAsia="zh-CN"/>
                <w14:textFill>
                  <w14:solidFill>
                    <w14:schemeClr w14:val="tx1"/>
                  </w14:solidFill>
                </w14:textFill>
              </w:rPr>
              <w:t>2020</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年12月</w:t>
            </w:r>
            <w:r>
              <w:rPr>
                <w:rFonts w:hint="eastAsia" w:cs="宋体" w:asciiTheme="minorEastAsia" w:hAnsiTheme="minorEastAsia" w:eastAsiaTheme="minorEastAsia"/>
                <w:color w:val="000000" w:themeColor="text1"/>
                <w:kern w:val="0"/>
                <w:sz w:val="20"/>
                <w:szCs w:val="20"/>
                <w:u w:val="single"/>
                <w:lang w:val="en-US" w:eastAsia="zh-CN"/>
                <w14:textFill>
                  <w14:solidFill>
                    <w14:schemeClr w14:val="tx1"/>
                  </w14:solidFill>
                </w14:textFill>
              </w:rPr>
              <w:t>02</w:t>
            </w:r>
            <w:r>
              <w:rPr>
                <w:rFonts w:hint="eastAsia" w:cs="宋体" w:asciiTheme="minorEastAsia" w:hAnsiTheme="minorEastAsia" w:eastAsiaTheme="minorEastAsia"/>
                <w:color w:val="000000" w:themeColor="text1"/>
                <w:kern w:val="0"/>
                <w:sz w:val="20"/>
                <w:szCs w:val="20"/>
                <w:u w:val="single"/>
                <w14:textFill>
                  <w14:solidFill>
                    <w14:schemeClr w14:val="tx1"/>
                  </w14:solidFill>
                </w14:textFill>
              </w:rPr>
              <w:t>日15：00在重庆机电集团1303会议室举行开标会。</w:t>
            </w:r>
          </w:p>
        </w:tc>
      </w:tr>
      <w:tr>
        <w:tblPrEx>
          <w:tblLayout w:type="fixed"/>
          <w:tblCellMar>
            <w:top w:w="0" w:type="dxa"/>
            <w:left w:w="108" w:type="dxa"/>
            <w:bottom w:w="0" w:type="dxa"/>
            <w:right w:w="108" w:type="dxa"/>
          </w:tblCellMar>
        </w:tblPrEx>
        <w:trPr>
          <w:trHeight w:val="570" w:hRule="atLeast"/>
        </w:trPr>
        <w:tc>
          <w:tcPr>
            <w:tcW w:w="72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21</w:t>
            </w:r>
          </w:p>
        </w:tc>
        <w:tc>
          <w:tcPr>
            <w:tcW w:w="1701" w:type="dxa"/>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废标</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1、超出经营范围投标的；</w:t>
            </w:r>
          </w:p>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2、资格证明文件不符合招标文件要求的；</w:t>
            </w:r>
          </w:p>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3、投标文件无法定代表人签字，或签字人无法定代表有效授权书的；</w:t>
            </w:r>
          </w:p>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4、业绩不满足招标文件要求的；</w:t>
            </w:r>
          </w:p>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5、投标有效期不足的。</w:t>
            </w:r>
          </w:p>
        </w:tc>
      </w:tr>
      <w:tr>
        <w:tblPrEx>
          <w:tblLayout w:type="fixed"/>
          <w:tblCellMar>
            <w:top w:w="0" w:type="dxa"/>
            <w:left w:w="108" w:type="dxa"/>
            <w:bottom w:w="0" w:type="dxa"/>
            <w:right w:w="108" w:type="dxa"/>
          </w:tblCellMar>
        </w:tblPrEx>
        <w:trPr>
          <w:trHeight w:val="570" w:hRule="atLeast"/>
        </w:trPr>
        <w:tc>
          <w:tcPr>
            <w:tcW w:w="724" w:type="dxa"/>
            <w:vMerge w:val="restar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22</w:t>
            </w:r>
          </w:p>
        </w:tc>
        <w:tc>
          <w:tcPr>
            <w:tcW w:w="1701" w:type="dxa"/>
            <w:vMerge w:val="restart"/>
            <w:tcBorders>
              <w:top w:val="nil"/>
              <w:left w:val="single" w:color="auto" w:sz="4" w:space="0"/>
              <w:bottom w:val="single" w:color="auto" w:sz="4" w:space="0"/>
              <w:right w:val="nil"/>
            </w:tcBorders>
            <w:shd w:val="clear" w:color="auto" w:fill="auto"/>
            <w:vAlign w:val="center"/>
          </w:tcPr>
          <w:p>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评标办法及评分标准</w:t>
            </w:r>
          </w:p>
        </w:tc>
        <w:tc>
          <w:tcPr>
            <w:tcW w:w="5954" w:type="dxa"/>
            <w:tcBorders>
              <w:top w:val="single" w:color="auto" w:sz="4" w:space="0"/>
              <w:left w:val="single" w:color="auto" w:sz="4" w:space="0"/>
              <w:bottom w:val="nil"/>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1、由重庆盛普物资有限公司进行资格后审，资格后审合格的投标人的投标为有效投标。</w:t>
            </w:r>
          </w:p>
        </w:tc>
      </w:tr>
      <w:tr>
        <w:tblPrEx>
          <w:tblLayout w:type="fixed"/>
          <w:tblCellMar>
            <w:top w:w="0" w:type="dxa"/>
            <w:left w:w="108" w:type="dxa"/>
            <w:bottom w:w="0" w:type="dxa"/>
            <w:right w:w="108" w:type="dxa"/>
          </w:tblCellMar>
        </w:tblPrEx>
        <w:trPr>
          <w:trHeight w:val="375" w:hRule="atLeast"/>
        </w:trPr>
        <w:tc>
          <w:tcPr>
            <w:tcW w:w="724" w:type="dxa"/>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1701" w:type="dxa"/>
            <w:vMerge w:val="continue"/>
            <w:tcBorders>
              <w:top w:val="nil"/>
              <w:left w:val="single" w:color="auto" w:sz="4" w:space="0"/>
              <w:bottom w:val="single" w:color="auto" w:sz="4" w:space="0"/>
              <w:right w:val="nil"/>
            </w:tcBorders>
            <w:vAlign w:val="center"/>
          </w:tcPr>
          <w:p>
            <w:pPr>
              <w:widowControl/>
              <w:jc w:val="left"/>
              <w:rPr>
                <w:rFonts w:ascii="仿宋_GB2312" w:hAnsi="宋体" w:eastAsia="仿宋_GB2312" w:cs="宋体"/>
                <w:kern w:val="0"/>
                <w:sz w:val="20"/>
                <w:szCs w:val="20"/>
              </w:rPr>
            </w:pPr>
          </w:p>
        </w:tc>
        <w:tc>
          <w:tcPr>
            <w:tcW w:w="5954" w:type="dxa"/>
            <w:tcBorders>
              <w:top w:val="nil"/>
              <w:left w:val="single" w:color="auto" w:sz="4" w:space="0"/>
              <w:bottom w:val="single" w:color="auto" w:sz="4" w:space="0"/>
              <w:right w:val="single" w:color="auto" w:sz="8" w:space="0"/>
            </w:tcBorders>
            <w:shd w:val="clear" w:color="auto" w:fill="auto"/>
            <w:vAlign w:val="center"/>
          </w:tcPr>
          <w:p>
            <w:pPr>
              <w:widowControl/>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2、具体评标办法及评分标准见第二部分：</w:t>
            </w:r>
            <w:r>
              <w:rPr>
                <w:rFonts w:hint="eastAsia" w:cs="宋体" w:asciiTheme="minorEastAsia" w:hAnsiTheme="minorEastAsia" w:eastAsiaTheme="minorEastAsia"/>
                <w:kern w:val="0"/>
                <w:sz w:val="20"/>
                <w:szCs w:val="20"/>
                <w:u w:val="single"/>
              </w:rPr>
              <w:t>《评标办法》</w:t>
            </w:r>
          </w:p>
        </w:tc>
      </w:tr>
    </w:tbl>
    <w:p>
      <w:pPr>
        <w:spacing w:line="560" w:lineRule="exact"/>
        <w:ind w:firstLine="551" w:firstLineChars="196"/>
        <w:rPr>
          <w:rFonts w:ascii="楷体" w:hAnsi="楷体" w:eastAsia="楷体"/>
          <w:b/>
          <w:sz w:val="28"/>
          <w:szCs w:val="28"/>
        </w:rPr>
      </w:pPr>
      <w:r>
        <w:rPr>
          <w:rFonts w:hint="eastAsia" w:ascii="楷体" w:hAnsi="楷体" w:eastAsia="楷体"/>
          <w:b/>
          <w:sz w:val="28"/>
          <w:szCs w:val="28"/>
        </w:rPr>
        <w:t>一、总   则</w:t>
      </w:r>
      <w:bookmarkEnd w:id="27"/>
      <w:bookmarkEnd w:id="28"/>
      <w:bookmarkEnd w:id="29"/>
      <w:bookmarkEnd w:id="30"/>
      <w:bookmarkEnd w:id="31"/>
      <w:bookmarkEnd w:id="32"/>
      <w:bookmarkEnd w:id="33"/>
      <w:bookmarkEnd w:id="34"/>
      <w:bookmarkEnd w:id="35"/>
      <w:bookmarkEnd w:id="36"/>
    </w:p>
    <w:p>
      <w:pPr>
        <w:spacing w:line="560" w:lineRule="exact"/>
        <w:ind w:firstLine="551" w:firstLineChars="196"/>
        <w:rPr>
          <w:rFonts w:ascii="楷体" w:hAnsi="楷体" w:eastAsia="楷体"/>
          <w:b/>
          <w:sz w:val="28"/>
          <w:szCs w:val="28"/>
        </w:rPr>
      </w:pPr>
      <w:r>
        <w:rPr>
          <w:rFonts w:hint="eastAsia" w:ascii="楷体" w:hAnsi="楷体" w:eastAsia="楷体"/>
          <w:b/>
          <w:bCs/>
          <w:sz w:val="28"/>
          <w:szCs w:val="28"/>
        </w:rPr>
        <w:t>1.项目说明</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1.1本招标项目说明详见本须知前附表第l项～第10项；</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1．2本谈判项目按照《中华人民共和国招标投标法》等有关法律、行政法规和规章，通过招标方式选定中标人。</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2.合格的投标人</w:t>
      </w:r>
    </w:p>
    <w:p>
      <w:pPr>
        <w:spacing w:line="560" w:lineRule="exact"/>
        <w:ind w:firstLine="570"/>
        <w:rPr>
          <w:rFonts w:ascii="楷体" w:hAnsi="楷体" w:eastAsia="楷体"/>
          <w:sz w:val="28"/>
          <w:szCs w:val="28"/>
        </w:rPr>
      </w:pPr>
      <w:r>
        <w:rPr>
          <w:rFonts w:hint="eastAsia" w:ascii="楷体" w:hAnsi="楷体" w:eastAsia="楷体"/>
          <w:sz w:val="28"/>
          <w:szCs w:val="28"/>
        </w:rPr>
        <w:t>凡通过我公司资格后审的，并遵守</w:t>
      </w:r>
      <w:r>
        <w:rPr>
          <w:rFonts w:hint="eastAsia" w:ascii="楷体" w:hAnsi="楷体" w:eastAsia="楷体"/>
          <w:bCs/>
          <w:sz w:val="28"/>
          <w:szCs w:val="28"/>
        </w:rPr>
        <w:t>《中华人民共和国招标投标法》</w:t>
      </w:r>
      <w:r>
        <w:rPr>
          <w:rFonts w:hint="eastAsia" w:ascii="楷体" w:hAnsi="楷体" w:eastAsia="楷体"/>
          <w:sz w:val="28"/>
          <w:szCs w:val="28"/>
        </w:rPr>
        <w:t>及有关的国家法律、法规和条例的潜在投标人均可自愿参加投标。</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3.投标费用</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无论投标过程中的作法和结果如何，投标人均应自行承担其参加本招标活动自身所发生的所有费用。</w:t>
      </w:r>
      <w:bookmarkStart w:id="37" w:name="_Toc232762155"/>
      <w:bookmarkStart w:id="38" w:name="_Toc232762236"/>
      <w:bookmarkStart w:id="39" w:name="_Toc232762577"/>
      <w:bookmarkStart w:id="40" w:name="_Toc232583433"/>
      <w:bookmarkStart w:id="41" w:name="_Toc232760995"/>
      <w:bookmarkStart w:id="42" w:name="_Toc232761305"/>
      <w:bookmarkStart w:id="43" w:name="_Toc232761847"/>
      <w:bookmarkStart w:id="44" w:name="_Toc232582270"/>
      <w:bookmarkStart w:id="45" w:name="_Toc232581780"/>
      <w:bookmarkStart w:id="46" w:name="_Toc232568053"/>
    </w:p>
    <w:p>
      <w:pPr>
        <w:spacing w:line="560" w:lineRule="exact"/>
        <w:ind w:right="-176" w:rightChars="-84" w:firstLine="562" w:firstLineChars="200"/>
        <w:rPr>
          <w:rFonts w:ascii="楷体" w:hAnsi="楷体" w:eastAsia="楷体"/>
          <w:b/>
          <w:sz w:val="28"/>
          <w:szCs w:val="28"/>
        </w:rPr>
      </w:pPr>
      <w:r>
        <w:rPr>
          <w:rFonts w:hint="eastAsia" w:ascii="楷体" w:hAnsi="楷体" w:eastAsia="楷体"/>
          <w:b/>
          <w:bCs/>
          <w:sz w:val="28"/>
          <w:szCs w:val="28"/>
        </w:rPr>
        <w:t>二、</w:t>
      </w:r>
      <w:r>
        <w:rPr>
          <w:rFonts w:hint="eastAsia" w:ascii="楷体" w:hAnsi="楷体" w:eastAsia="楷体"/>
          <w:b/>
          <w:sz w:val="28"/>
          <w:szCs w:val="28"/>
        </w:rPr>
        <w:t>招标文件</w:t>
      </w:r>
      <w:bookmarkEnd w:id="37"/>
      <w:bookmarkEnd w:id="38"/>
      <w:bookmarkEnd w:id="39"/>
      <w:bookmarkEnd w:id="40"/>
      <w:bookmarkEnd w:id="41"/>
      <w:bookmarkEnd w:id="42"/>
      <w:bookmarkEnd w:id="43"/>
      <w:bookmarkEnd w:id="44"/>
      <w:bookmarkEnd w:id="45"/>
      <w:bookmarkEnd w:id="46"/>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投标人应详细阅读招标文件的全部内容。不按招标文件的要求提供的投标文件和资料，可能导致投标被拒绝。</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4.招标文件的组成</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4.1第一部分  投标人须知</w:t>
      </w:r>
    </w:p>
    <w:p>
      <w:pPr>
        <w:spacing w:line="560" w:lineRule="exact"/>
        <w:ind w:right="-176" w:rightChars="-84"/>
        <w:rPr>
          <w:rFonts w:ascii="楷体" w:hAnsi="楷体" w:eastAsia="楷体"/>
          <w:bCs/>
          <w:sz w:val="28"/>
          <w:szCs w:val="28"/>
        </w:rPr>
      </w:pPr>
      <w:r>
        <w:rPr>
          <w:rFonts w:hint="eastAsia" w:ascii="楷体" w:hAnsi="楷体" w:eastAsia="楷体"/>
          <w:bCs/>
          <w:sz w:val="28"/>
          <w:szCs w:val="28"/>
        </w:rPr>
        <w:t>　　4.2第二部分　评标办法（综合评估法）</w:t>
      </w:r>
    </w:p>
    <w:p>
      <w:pPr>
        <w:spacing w:line="560" w:lineRule="exact"/>
        <w:ind w:right="-176" w:rightChars="-84"/>
        <w:rPr>
          <w:rFonts w:ascii="楷体" w:hAnsi="楷体" w:eastAsia="楷体"/>
          <w:bCs/>
          <w:sz w:val="28"/>
          <w:szCs w:val="28"/>
        </w:rPr>
      </w:pPr>
      <w:r>
        <w:rPr>
          <w:rFonts w:hint="eastAsia" w:ascii="楷体" w:hAnsi="楷体" w:eastAsia="楷体"/>
          <w:bCs/>
          <w:sz w:val="28"/>
          <w:szCs w:val="28"/>
        </w:rPr>
        <w:t>　　4.3第三部分　合同条款及格式</w:t>
      </w:r>
    </w:p>
    <w:p>
      <w:pPr>
        <w:spacing w:line="560" w:lineRule="exact"/>
        <w:ind w:right="-176" w:rightChars="-84"/>
        <w:rPr>
          <w:rFonts w:ascii="楷体" w:hAnsi="楷体" w:eastAsia="楷体"/>
          <w:bCs/>
          <w:sz w:val="28"/>
          <w:szCs w:val="28"/>
        </w:rPr>
      </w:pPr>
      <w:r>
        <w:rPr>
          <w:rFonts w:hint="eastAsia" w:ascii="楷体" w:hAnsi="楷体" w:eastAsia="楷体"/>
          <w:bCs/>
          <w:sz w:val="28"/>
          <w:szCs w:val="28"/>
        </w:rPr>
        <w:t>　　4.4第四部分　其他要求</w:t>
      </w:r>
    </w:p>
    <w:p>
      <w:pPr>
        <w:spacing w:line="560" w:lineRule="exact"/>
        <w:ind w:right="-176" w:rightChars="-84" w:firstLine="560" w:firstLineChars="200"/>
        <w:rPr>
          <w:rFonts w:ascii="楷体" w:hAnsi="楷体" w:eastAsia="楷体"/>
          <w:b/>
          <w:bCs/>
          <w:sz w:val="28"/>
          <w:szCs w:val="28"/>
        </w:rPr>
      </w:pPr>
      <w:r>
        <w:rPr>
          <w:rFonts w:hint="eastAsia" w:ascii="楷体" w:hAnsi="楷体" w:eastAsia="楷体"/>
          <w:bCs/>
          <w:sz w:val="28"/>
          <w:szCs w:val="28"/>
        </w:rPr>
        <w:t>5.</w:t>
      </w:r>
      <w:r>
        <w:rPr>
          <w:rFonts w:hint="eastAsia" w:ascii="楷体" w:hAnsi="楷体" w:eastAsia="楷体"/>
          <w:b/>
          <w:bCs/>
          <w:sz w:val="28"/>
          <w:szCs w:val="28"/>
        </w:rPr>
        <w:t>招标文件的澄清与修改</w:t>
      </w:r>
    </w:p>
    <w:p>
      <w:pPr>
        <w:spacing w:line="540" w:lineRule="exact"/>
        <w:ind w:right="-176" w:rightChars="-84" w:firstLine="560" w:firstLineChars="200"/>
        <w:rPr>
          <w:rFonts w:ascii="楷体" w:hAnsi="楷体" w:eastAsia="楷体"/>
          <w:bCs/>
          <w:color w:val="000000" w:themeColor="text1"/>
          <w:sz w:val="28"/>
          <w:szCs w:val="28"/>
          <w14:textFill>
            <w14:solidFill>
              <w14:schemeClr w14:val="tx1"/>
            </w14:solidFill>
          </w14:textFill>
        </w:rPr>
      </w:pPr>
      <w:r>
        <w:rPr>
          <w:rFonts w:hint="eastAsia" w:ascii="楷体" w:hAnsi="楷体" w:eastAsia="楷体"/>
          <w:bCs/>
          <w:color w:val="000000" w:themeColor="text1"/>
          <w:sz w:val="28"/>
          <w:szCs w:val="28"/>
          <w14:textFill>
            <w14:solidFill>
              <w14:schemeClr w14:val="tx1"/>
            </w14:solidFill>
          </w14:textFill>
        </w:rPr>
        <w:t>5.1投标人若对招标文件有任何疑问，应于投标截止日期前采用书面质询的方式。递交书面质疑的截止时间：</w:t>
      </w:r>
      <w:r>
        <w:rPr>
          <w:rFonts w:hint="eastAsia" w:ascii="楷体" w:hAnsi="楷体" w:eastAsia="楷体"/>
          <w:bCs/>
          <w:color w:val="000000" w:themeColor="text1"/>
          <w:sz w:val="28"/>
          <w:szCs w:val="28"/>
          <w:u w:val="single"/>
          <w:lang w:eastAsia="zh-CN"/>
          <w14:textFill>
            <w14:solidFill>
              <w14:schemeClr w14:val="tx1"/>
            </w14:solidFill>
          </w14:textFill>
        </w:rPr>
        <w:t>2020</w:t>
      </w:r>
      <w:r>
        <w:rPr>
          <w:rFonts w:hint="eastAsia" w:ascii="楷体" w:hAnsi="楷体" w:eastAsia="楷体"/>
          <w:bCs/>
          <w:color w:val="000000" w:themeColor="text1"/>
          <w:sz w:val="28"/>
          <w:szCs w:val="28"/>
          <w14:textFill>
            <w14:solidFill>
              <w14:schemeClr w14:val="tx1"/>
            </w14:solidFill>
          </w14:textFill>
        </w:rPr>
        <w:t>年</w:t>
      </w:r>
      <w:r>
        <w:rPr>
          <w:rFonts w:hint="eastAsia" w:ascii="楷体" w:hAnsi="楷体" w:eastAsia="楷体"/>
          <w:bCs/>
          <w:color w:val="000000" w:themeColor="text1"/>
          <w:sz w:val="28"/>
          <w:szCs w:val="28"/>
          <w:u w:val="single"/>
          <w14:textFill>
            <w14:solidFill>
              <w14:schemeClr w14:val="tx1"/>
            </w14:solidFill>
          </w14:textFill>
        </w:rPr>
        <w:t>1</w:t>
      </w:r>
      <w:r>
        <w:rPr>
          <w:rFonts w:hint="eastAsia" w:ascii="楷体" w:hAnsi="楷体" w:eastAsia="楷体"/>
          <w:bCs/>
          <w:color w:val="000000" w:themeColor="text1"/>
          <w:sz w:val="28"/>
          <w:szCs w:val="28"/>
          <w:u w:val="single"/>
          <w:lang w:val="en-US" w:eastAsia="zh-CN"/>
          <w14:textFill>
            <w14:solidFill>
              <w14:schemeClr w14:val="tx1"/>
            </w14:solidFill>
          </w14:textFill>
        </w:rPr>
        <w:t>1</w:t>
      </w:r>
      <w:r>
        <w:rPr>
          <w:rFonts w:hint="eastAsia" w:ascii="楷体" w:hAnsi="楷体" w:eastAsia="楷体"/>
          <w:bCs/>
          <w:color w:val="000000" w:themeColor="text1"/>
          <w:sz w:val="28"/>
          <w:szCs w:val="28"/>
          <w14:textFill>
            <w14:solidFill>
              <w14:schemeClr w14:val="tx1"/>
            </w14:solidFill>
          </w14:textFill>
        </w:rPr>
        <w:t>月</w:t>
      </w:r>
      <w:r>
        <w:rPr>
          <w:rFonts w:hint="eastAsia" w:ascii="楷体" w:hAnsi="楷体" w:eastAsia="楷体"/>
          <w:bCs/>
          <w:color w:val="000000" w:themeColor="text1"/>
          <w:sz w:val="28"/>
          <w:szCs w:val="28"/>
          <w:u w:val="single"/>
          <w:lang w:val="en-US" w:eastAsia="zh-CN"/>
          <w14:textFill>
            <w14:solidFill>
              <w14:schemeClr w14:val="tx1"/>
            </w14:solidFill>
          </w14:textFill>
        </w:rPr>
        <w:t>2</w:t>
      </w:r>
      <w:r>
        <w:rPr>
          <w:rFonts w:hint="eastAsia" w:ascii="楷体" w:hAnsi="楷体" w:eastAsia="楷体"/>
          <w:bCs/>
          <w:color w:val="000000" w:themeColor="text1"/>
          <w:sz w:val="28"/>
          <w:szCs w:val="28"/>
          <w:u w:val="single"/>
          <w14:textFill>
            <w14:solidFill>
              <w14:schemeClr w14:val="tx1"/>
            </w14:solidFill>
          </w14:textFill>
        </w:rPr>
        <w:t>8</w:t>
      </w:r>
      <w:r>
        <w:rPr>
          <w:rFonts w:hint="eastAsia" w:ascii="楷体" w:hAnsi="楷体" w:eastAsia="楷体"/>
          <w:bCs/>
          <w:color w:val="000000" w:themeColor="text1"/>
          <w:sz w:val="28"/>
          <w:szCs w:val="28"/>
          <w14:textFill>
            <w14:solidFill>
              <w14:schemeClr w14:val="tx1"/>
            </w14:solidFill>
          </w14:textFill>
        </w:rPr>
        <w:t>日北京时间</w:t>
      </w:r>
      <w:r>
        <w:rPr>
          <w:rFonts w:hint="eastAsia" w:ascii="楷体" w:hAnsi="楷体" w:eastAsia="楷体"/>
          <w:bCs/>
          <w:color w:val="000000" w:themeColor="text1"/>
          <w:sz w:val="28"/>
          <w:szCs w:val="28"/>
          <w:u w:val="single"/>
          <w14:textFill>
            <w14:solidFill>
              <w14:schemeClr w14:val="tx1"/>
            </w14:solidFill>
          </w14:textFill>
        </w:rPr>
        <w:t>17：00</w:t>
      </w:r>
      <w:r>
        <w:rPr>
          <w:rFonts w:hint="eastAsia" w:ascii="楷体" w:hAnsi="楷体" w:eastAsia="楷体"/>
          <w:bCs/>
          <w:color w:val="000000" w:themeColor="text1"/>
          <w:sz w:val="28"/>
          <w:szCs w:val="28"/>
          <w14:textFill>
            <w14:solidFill>
              <w14:schemeClr w14:val="tx1"/>
            </w14:solidFill>
          </w14:textFill>
        </w:rPr>
        <w:t>时前；领取招标人答疑及补遗的时间：</w:t>
      </w:r>
      <w:r>
        <w:rPr>
          <w:rFonts w:hint="eastAsia" w:ascii="楷体" w:hAnsi="楷体" w:eastAsia="楷体"/>
          <w:bCs/>
          <w:color w:val="000000" w:themeColor="text1"/>
          <w:sz w:val="28"/>
          <w:szCs w:val="28"/>
          <w:u w:val="single"/>
          <w:lang w:eastAsia="zh-CN"/>
          <w14:textFill>
            <w14:solidFill>
              <w14:schemeClr w14:val="tx1"/>
            </w14:solidFill>
          </w14:textFill>
        </w:rPr>
        <w:t>2020</w:t>
      </w:r>
      <w:r>
        <w:rPr>
          <w:rFonts w:hint="eastAsia" w:ascii="楷体" w:hAnsi="楷体" w:eastAsia="楷体"/>
          <w:bCs/>
          <w:color w:val="000000" w:themeColor="text1"/>
          <w:sz w:val="28"/>
          <w:szCs w:val="28"/>
          <w14:textFill>
            <w14:solidFill>
              <w14:schemeClr w14:val="tx1"/>
            </w14:solidFill>
          </w14:textFill>
        </w:rPr>
        <w:t>年</w:t>
      </w:r>
      <w:r>
        <w:rPr>
          <w:rFonts w:hint="eastAsia" w:ascii="楷体" w:hAnsi="楷体" w:eastAsia="楷体"/>
          <w:bCs/>
          <w:color w:val="000000" w:themeColor="text1"/>
          <w:sz w:val="28"/>
          <w:szCs w:val="28"/>
          <w:u w:val="single"/>
          <w14:textFill>
            <w14:solidFill>
              <w14:schemeClr w14:val="tx1"/>
            </w14:solidFill>
          </w14:textFill>
        </w:rPr>
        <w:t>1</w:t>
      </w:r>
      <w:r>
        <w:rPr>
          <w:rFonts w:hint="eastAsia" w:ascii="楷体" w:hAnsi="楷体" w:eastAsia="楷体"/>
          <w:bCs/>
          <w:color w:val="000000" w:themeColor="text1"/>
          <w:sz w:val="28"/>
          <w:szCs w:val="28"/>
          <w:u w:val="single"/>
          <w:lang w:val="en-US" w:eastAsia="zh-CN"/>
          <w14:textFill>
            <w14:solidFill>
              <w14:schemeClr w14:val="tx1"/>
            </w14:solidFill>
          </w14:textFill>
        </w:rPr>
        <w:t>1</w:t>
      </w:r>
      <w:r>
        <w:rPr>
          <w:rFonts w:hint="eastAsia" w:ascii="楷体" w:hAnsi="楷体" w:eastAsia="楷体"/>
          <w:bCs/>
          <w:color w:val="000000" w:themeColor="text1"/>
          <w:sz w:val="28"/>
          <w:szCs w:val="28"/>
          <w14:textFill>
            <w14:solidFill>
              <w14:schemeClr w14:val="tx1"/>
            </w14:solidFill>
          </w14:textFill>
        </w:rPr>
        <w:t>月</w:t>
      </w:r>
      <w:r>
        <w:rPr>
          <w:rFonts w:hint="eastAsia" w:ascii="楷体" w:hAnsi="楷体" w:eastAsia="楷体"/>
          <w:bCs/>
          <w:color w:val="000000" w:themeColor="text1"/>
          <w:sz w:val="28"/>
          <w:szCs w:val="28"/>
          <w:u w:val="single"/>
          <w:lang w:val="en-US" w:eastAsia="zh-CN"/>
          <w14:textFill>
            <w14:solidFill>
              <w14:schemeClr w14:val="tx1"/>
            </w14:solidFill>
          </w14:textFill>
        </w:rPr>
        <w:t>2</w:t>
      </w:r>
      <w:r>
        <w:rPr>
          <w:rFonts w:hint="eastAsia" w:ascii="楷体" w:hAnsi="楷体" w:eastAsia="楷体"/>
          <w:bCs/>
          <w:color w:val="000000" w:themeColor="text1"/>
          <w:sz w:val="28"/>
          <w:szCs w:val="28"/>
          <w:u w:val="single"/>
          <w14:textFill>
            <w14:solidFill>
              <w14:schemeClr w14:val="tx1"/>
            </w14:solidFill>
          </w14:textFill>
        </w:rPr>
        <w:t>9</w:t>
      </w:r>
      <w:r>
        <w:rPr>
          <w:rFonts w:hint="eastAsia" w:ascii="楷体" w:hAnsi="楷体" w:eastAsia="楷体"/>
          <w:bCs/>
          <w:color w:val="000000" w:themeColor="text1"/>
          <w:sz w:val="28"/>
          <w:szCs w:val="28"/>
          <w14:textFill>
            <w14:solidFill>
              <w14:schemeClr w14:val="tx1"/>
            </w14:solidFill>
          </w14:textFill>
        </w:rPr>
        <w:t xml:space="preserve">北京时间 </w:t>
      </w:r>
      <w:r>
        <w:rPr>
          <w:rFonts w:hint="eastAsia" w:ascii="楷体" w:hAnsi="楷体" w:eastAsia="楷体"/>
          <w:bCs/>
          <w:color w:val="000000" w:themeColor="text1"/>
          <w:sz w:val="28"/>
          <w:szCs w:val="28"/>
          <w:u w:val="single"/>
          <w14:textFill>
            <w14:solidFill>
              <w14:schemeClr w14:val="tx1"/>
            </w14:solidFill>
          </w14:textFill>
        </w:rPr>
        <w:t>17：00</w:t>
      </w:r>
      <w:r>
        <w:rPr>
          <w:rFonts w:hint="eastAsia" w:ascii="楷体" w:hAnsi="楷体" w:eastAsia="楷体"/>
          <w:bCs/>
          <w:color w:val="000000" w:themeColor="text1"/>
          <w:sz w:val="28"/>
          <w:szCs w:val="28"/>
          <w14:textFill>
            <w14:solidFill>
              <w14:schemeClr w14:val="tx1"/>
            </w14:solidFill>
          </w14:textFill>
        </w:rPr>
        <w:t>时前。递交书面质疑或领取答疑及补遗的地点：</w:t>
      </w:r>
      <w:r>
        <w:rPr>
          <w:rFonts w:hint="eastAsia" w:ascii="楷体" w:hAnsi="楷体" w:eastAsia="楷体"/>
          <w:bCs/>
          <w:color w:val="000000" w:themeColor="text1"/>
          <w:sz w:val="28"/>
          <w:szCs w:val="28"/>
          <w:u w:val="single"/>
          <w14:textFill>
            <w14:solidFill>
              <w14:schemeClr w14:val="tx1"/>
            </w14:solidFill>
          </w14:textFill>
        </w:rPr>
        <w:t>重庆盛普物资有限公司1207室</w:t>
      </w:r>
      <w:r>
        <w:rPr>
          <w:rFonts w:hint="eastAsia" w:ascii="楷体" w:hAnsi="楷体" w:eastAsia="楷体"/>
          <w:bCs/>
          <w:color w:val="000000" w:themeColor="text1"/>
          <w:sz w:val="28"/>
          <w:szCs w:val="28"/>
          <w14:textFill>
            <w14:solidFill>
              <w14:schemeClr w14:val="tx1"/>
            </w14:solidFill>
          </w14:textFill>
        </w:rPr>
        <w:t>。</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5.2在投标截止时间前，招标人无论出于自己的考虑，还是出于对投标人提问的澄清，均可对招标文件用补充文件的方式进行修改。对招标文件的修改，将以书面或传真的形式，通知已购买招标文件的每一位潜在投标人。补充文件将作为招标文件的组成部分，对所有投标人均有相同约束力。</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5.3投标人在收到该澄清或修改文件后应于</w:t>
      </w:r>
      <w:r>
        <w:rPr>
          <w:rFonts w:hint="eastAsia" w:ascii="楷体" w:hAnsi="楷体" w:eastAsia="楷体"/>
          <w:bCs/>
          <w:sz w:val="28"/>
          <w:szCs w:val="28"/>
          <w:u w:val="single"/>
        </w:rPr>
        <w:t>1</w:t>
      </w:r>
      <w:r>
        <w:rPr>
          <w:rFonts w:hint="eastAsia" w:ascii="楷体" w:hAnsi="楷体" w:eastAsia="楷体"/>
          <w:bCs/>
          <w:sz w:val="28"/>
          <w:szCs w:val="28"/>
        </w:rPr>
        <w:t>日内，以传真形式向招标人回函确认。如果投标人在规定的时间内不回函招标人，招标人将视为投标人已收到文件，招标人对此造成的任何后果不承担任何责任。该澄清或修改作为招标文件的组成部分，对所有的投标人均具有约束作用。</w:t>
      </w:r>
    </w:p>
    <w:p>
      <w:pPr>
        <w:spacing w:line="560" w:lineRule="exact"/>
        <w:ind w:right="-176" w:rightChars="-84" w:firstLine="560" w:firstLineChars="200"/>
        <w:rPr>
          <w:rFonts w:ascii="楷体" w:hAnsi="楷体" w:eastAsia="楷体"/>
          <w:bCs/>
          <w:sz w:val="28"/>
          <w:szCs w:val="28"/>
        </w:rPr>
      </w:pPr>
      <w:bookmarkStart w:id="47" w:name="_Toc232583434"/>
      <w:bookmarkStart w:id="48" w:name="_Toc232762237"/>
      <w:bookmarkStart w:id="49" w:name="_Toc232761848"/>
      <w:bookmarkStart w:id="50" w:name="_Toc232582271"/>
      <w:bookmarkStart w:id="51" w:name="_Toc232568054"/>
      <w:bookmarkStart w:id="52" w:name="_Toc232762578"/>
      <w:bookmarkStart w:id="53" w:name="_Toc232760996"/>
      <w:bookmarkStart w:id="54" w:name="_Toc232761306"/>
      <w:bookmarkStart w:id="55" w:name="_Toc232762156"/>
      <w:bookmarkStart w:id="56" w:name="_Toc232581781"/>
      <w:r>
        <w:rPr>
          <w:rFonts w:hint="eastAsia" w:ascii="楷体" w:hAnsi="楷体" w:eastAsia="楷体"/>
          <w:bCs/>
          <w:sz w:val="28"/>
          <w:szCs w:val="28"/>
        </w:rPr>
        <w:t>三、</w:t>
      </w:r>
      <w:r>
        <w:rPr>
          <w:rFonts w:hint="eastAsia" w:ascii="楷体" w:hAnsi="楷体" w:eastAsia="楷体"/>
          <w:b/>
          <w:sz w:val="28"/>
          <w:szCs w:val="28"/>
        </w:rPr>
        <w:t>投标文件</w:t>
      </w:r>
      <w:bookmarkEnd w:id="47"/>
      <w:bookmarkEnd w:id="48"/>
      <w:bookmarkEnd w:id="49"/>
      <w:bookmarkEnd w:id="50"/>
      <w:bookmarkEnd w:id="51"/>
      <w:bookmarkEnd w:id="52"/>
      <w:bookmarkEnd w:id="53"/>
      <w:bookmarkEnd w:id="54"/>
      <w:bookmarkEnd w:id="55"/>
      <w:bookmarkEnd w:id="56"/>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6.投标文件的组成</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6.1封面</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6.2投标函</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6.3已标价的投标报价表</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6.4可提供增值服务证明</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6.5法定代表人身份证明及授权委托书</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6.6招标文件要求投标人提交的其他投标资料</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7.投标报价</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7.1投标人可先到重庆机电集团所属企业了解供电要求等任何其他足以影响投标报价的情况。</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7.2投标人根据现行电网用户电度目录电价确定投标人自身电价降幅。</w:t>
      </w:r>
    </w:p>
    <w:p>
      <w:pPr>
        <w:spacing w:line="560" w:lineRule="exact"/>
        <w:ind w:firstLine="560" w:firstLineChars="200"/>
        <w:rPr>
          <w:rFonts w:ascii="楷体" w:hAnsi="楷体" w:eastAsia="楷体"/>
          <w:sz w:val="28"/>
          <w:szCs w:val="28"/>
        </w:rPr>
      </w:pPr>
      <w:r>
        <w:rPr>
          <w:rFonts w:hint="eastAsia" w:ascii="楷体" w:hAnsi="楷体" w:eastAsia="楷体"/>
          <w:sz w:val="28"/>
          <w:szCs w:val="28"/>
        </w:rPr>
        <w:t>7.3投标人不得以低于成本的报价竞标，也不得以他人名义投标或者以其他方式弄虚作假骗取中标，否则，招标人有权没收投标人的投标保证金。</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8.投标有效期</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8.1投标有效期见本须知前附表第12项所规定的期限，在此期限内，凡符合本招标文件要求的投标文件均保持有效。</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8.2在特殊情况下，招标人在原定投标有效期内，可以根据需要以书面形式向投标人提出延长投标有效期的要求，对此要求投标人须以书面形式予以答复，投标人有权拒绝招标人此要求</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8.3同意延长投标有效期的投标人不允许修改其投标文件。</w:t>
      </w:r>
    </w:p>
    <w:p>
      <w:pPr>
        <w:spacing w:line="560" w:lineRule="exact"/>
        <w:ind w:right="-176" w:rightChars="-84" w:firstLine="562" w:firstLineChars="200"/>
        <w:rPr>
          <w:rFonts w:ascii="楷体" w:hAnsi="楷体" w:eastAsia="楷体"/>
          <w:b/>
          <w:bCs/>
          <w:sz w:val="28"/>
          <w:szCs w:val="28"/>
        </w:rPr>
      </w:pPr>
      <w:bookmarkStart w:id="57" w:name="_Toc232582272"/>
      <w:bookmarkStart w:id="58" w:name="_Toc232761307"/>
      <w:bookmarkStart w:id="59" w:name="_Toc232762579"/>
      <w:bookmarkStart w:id="60" w:name="_Toc232761849"/>
      <w:bookmarkStart w:id="61" w:name="_Toc232568055"/>
      <w:bookmarkStart w:id="62" w:name="_Toc232760997"/>
      <w:bookmarkStart w:id="63" w:name="_Toc232583435"/>
      <w:bookmarkStart w:id="64" w:name="_Toc232762238"/>
      <w:bookmarkStart w:id="65" w:name="_Toc232581782"/>
      <w:bookmarkStart w:id="66" w:name="_Toc232762157"/>
      <w:r>
        <w:rPr>
          <w:rFonts w:hint="eastAsia" w:ascii="楷体" w:hAnsi="楷体" w:eastAsia="楷体"/>
          <w:b/>
          <w:bCs/>
          <w:sz w:val="28"/>
          <w:szCs w:val="28"/>
        </w:rPr>
        <w:t>四、</w:t>
      </w:r>
      <w:r>
        <w:rPr>
          <w:rFonts w:hint="eastAsia" w:ascii="楷体" w:hAnsi="楷体" w:eastAsia="楷体"/>
          <w:b/>
          <w:sz w:val="28"/>
          <w:szCs w:val="28"/>
        </w:rPr>
        <w:t>投标</w:t>
      </w:r>
      <w:bookmarkEnd w:id="57"/>
      <w:bookmarkEnd w:id="58"/>
      <w:bookmarkEnd w:id="59"/>
      <w:bookmarkEnd w:id="60"/>
      <w:bookmarkEnd w:id="61"/>
      <w:bookmarkEnd w:id="62"/>
      <w:bookmarkEnd w:id="63"/>
      <w:bookmarkEnd w:id="64"/>
      <w:bookmarkEnd w:id="65"/>
      <w:bookmarkEnd w:id="66"/>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9.投标文件的装订、密封和标记</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投标人应严格按本须知第19项要求对投标文件进行装订及密封。</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10.迟交的投标文件</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招标人在本须知第17条规定的投标截止时间以后收到的投标文件，将被拒绝并退回给投标人。</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11.投标文件的补充、修改与撤回</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11.1投标人在提交投标文件以后，在规定的投标截止时间之前，可以书面形式补充修改或撤回已提交的投标文件，并以书面形式通知招标人。补充、修改的内容为投标文件的有效组成部分。</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11.2投标人对投标文件的补充、修改，应按本须知第19条有关规定密封、标记和提交，并在投标文件密封袋上清楚标明“补充、修改”或“撤回”字样。</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11．3在投标文件提交的截止时间之后至投标有效期满之前，投标人不得撤回其投书标文件，否则其投标保证金招标人将不予退还。</w:t>
      </w:r>
      <w:bookmarkStart w:id="67" w:name="_Toc232760999"/>
      <w:bookmarkStart w:id="68" w:name="_Toc232762581"/>
      <w:bookmarkStart w:id="69" w:name="_Toc232582274"/>
      <w:bookmarkStart w:id="70" w:name="_Toc232762240"/>
      <w:bookmarkStart w:id="71" w:name="_Toc232762159"/>
      <w:bookmarkStart w:id="72" w:name="_Toc232761309"/>
      <w:bookmarkStart w:id="73" w:name="_Toc232761851"/>
      <w:bookmarkStart w:id="74" w:name="_Toc232581784"/>
      <w:bookmarkStart w:id="75" w:name="_Toc232583437"/>
      <w:bookmarkStart w:id="76" w:name="_Toc232568057"/>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五、开标</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12.1招标人按照招标文件规定的时间、地点主持公开开标。</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12.2投标人可派代表参加开标仪式。</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12.3开标时查验投标文件的密封情况，确认无误拆封唱标。</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12.4招标人在开标仪式上，公布投标人名称、投标标的物名称、投标价格及其投标的修改等内容，工作人员将做好唱标记录。</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sz w:val="28"/>
          <w:szCs w:val="28"/>
        </w:rPr>
        <w:t>六、评 标</w:t>
      </w:r>
      <w:bookmarkEnd w:id="67"/>
      <w:bookmarkEnd w:id="68"/>
      <w:bookmarkEnd w:id="69"/>
      <w:bookmarkEnd w:id="70"/>
      <w:bookmarkEnd w:id="71"/>
      <w:bookmarkEnd w:id="72"/>
      <w:bookmarkEnd w:id="73"/>
      <w:bookmarkEnd w:id="74"/>
      <w:bookmarkEnd w:id="75"/>
      <w:bookmarkEnd w:id="76"/>
    </w:p>
    <w:p>
      <w:pPr>
        <w:spacing w:line="560" w:lineRule="exact"/>
        <w:ind w:firstLine="551" w:firstLineChars="196"/>
        <w:rPr>
          <w:rFonts w:ascii="楷体" w:hAnsi="楷体" w:eastAsia="楷体"/>
          <w:b/>
          <w:bCs/>
          <w:sz w:val="28"/>
          <w:szCs w:val="28"/>
        </w:rPr>
      </w:pPr>
      <w:r>
        <w:rPr>
          <w:rFonts w:hint="eastAsia" w:ascii="楷体" w:hAnsi="楷体" w:eastAsia="楷体"/>
          <w:b/>
          <w:bCs/>
          <w:sz w:val="28"/>
          <w:szCs w:val="28"/>
        </w:rPr>
        <w:t>13.评标委员会与评标</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13.1招标人依据招标项目特点负责依法组建评标委员会。</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13.2评标采用保密方式进行。</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13.3具体评标办法及评分标准详见第二部分《评标办法》。</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七、中标</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14.中标确定</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14.1招标人以总得分的高低确定中标人。</w:t>
      </w:r>
    </w:p>
    <w:p>
      <w:pPr>
        <w:spacing w:line="56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15.中标份额分配</w:t>
      </w:r>
    </w:p>
    <w:p>
      <w:pPr>
        <w:spacing w:line="560" w:lineRule="exact"/>
        <w:ind w:right="-176" w:rightChars="-84" w:firstLine="560" w:firstLineChars="200"/>
        <w:rPr>
          <w:rFonts w:ascii="楷体" w:hAnsi="楷体" w:eastAsia="楷体"/>
          <w:bCs/>
          <w:sz w:val="28"/>
          <w:szCs w:val="28"/>
        </w:rPr>
      </w:pPr>
      <w:r>
        <w:rPr>
          <w:rFonts w:hint="eastAsia" w:ascii="楷体" w:hAnsi="楷体" w:eastAsia="楷体"/>
          <w:bCs/>
          <w:sz w:val="28"/>
          <w:szCs w:val="28"/>
          <w:u w:val="single"/>
        </w:rPr>
        <w:t>本次招标2个标的分别确定1名中标人。</w:t>
      </w:r>
    </w:p>
    <w:p>
      <w:pPr>
        <w:spacing w:line="540" w:lineRule="exact"/>
        <w:ind w:right="-176" w:rightChars="-84" w:firstLine="562" w:firstLineChars="200"/>
        <w:rPr>
          <w:rFonts w:ascii="楷体" w:hAnsi="楷体" w:eastAsia="楷体"/>
          <w:b/>
          <w:sz w:val="28"/>
          <w:szCs w:val="28"/>
        </w:rPr>
      </w:pPr>
      <w:r>
        <w:rPr>
          <w:rFonts w:hint="eastAsia" w:ascii="楷体" w:hAnsi="楷体" w:eastAsia="楷体"/>
          <w:b/>
          <w:sz w:val="28"/>
          <w:szCs w:val="28"/>
        </w:rPr>
        <w:t>八、招标过程保密</w:t>
      </w:r>
    </w:p>
    <w:p>
      <w:pPr>
        <w:spacing w:line="540" w:lineRule="exact"/>
        <w:ind w:right="-176" w:rightChars="-84" w:firstLine="570"/>
        <w:rPr>
          <w:rFonts w:ascii="楷体" w:hAnsi="楷体" w:eastAsia="楷体"/>
          <w:b/>
          <w:sz w:val="28"/>
          <w:szCs w:val="28"/>
        </w:rPr>
      </w:pPr>
      <w:r>
        <w:rPr>
          <w:rFonts w:hint="eastAsia" w:ascii="楷体" w:hAnsi="楷体" w:eastAsia="楷体"/>
          <w:b/>
          <w:sz w:val="28"/>
          <w:szCs w:val="28"/>
        </w:rPr>
        <w:t>16.保密事项</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16.1招标人不得向他人透露已获取招标文件的投标人的名称、数量，以及可能影响公平竞争的有关招标投标的其他情况。</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16.2开标之后，直到授予中标人合同止，凡是属于审查、澄清、评价和比较投标的有关资料以及授标意向等，均不得向投标人或其他无关人员透露。</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16.3评标期间，投标人企图影响招标人的任何活动，将导致其投标被拒绝，并承担相应的法律责任。</w:t>
      </w:r>
    </w:p>
    <w:p>
      <w:pPr>
        <w:spacing w:line="540" w:lineRule="exact"/>
        <w:ind w:right="-176" w:rightChars="-84" w:firstLine="570"/>
        <w:rPr>
          <w:rFonts w:ascii="楷体" w:hAnsi="楷体" w:eastAsia="楷体"/>
          <w:b/>
          <w:sz w:val="28"/>
          <w:szCs w:val="28"/>
        </w:rPr>
      </w:pPr>
      <w:r>
        <w:rPr>
          <w:rFonts w:hint="eastAsia" w:ascii="楷体" w:hAnsi="楷体" w:eastAsia="楷体"/>
          <w:b/>
          <w:sz w:val="28"/>
          <w:szCs w:val="28"/>
        </w:rPr>
        <w:t>九、授予合同</w:t>
      </w:r>
    </w:p>
    <w:p>
      <w:pPr>
        <w:spacing w:line="540" w:lineRule="exact"/>
        <w:ind w:right="-176" w:rightChars="-84" w:firstLine="570"/>
        <w:rPr>
          <w:rFonts w:ascii="楷体" w:hAnsi="楷体" w:eastAsia="楷体"/>
          <w:b/>
          <w:sz w:val="28"/>
          <w:szCs w:val="28"/>
        </w:rPr>
      </w:pPr>
      <w:r>
        <w:rPr>
          <w:rFonts w:hint="eastAsia" w:ascii="楷体" w:hAnsi="楷体" w:eastAsia="楷体"/>
          <w:b/>
          <w:sz w:val="28"/>
          <w:szCs w:val="28"/>
        </w:rPr>
        <w:t>17.中标通知书</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17.1在投标有效期内，招标人以《中标通知书》形式通知所选定的中标人。</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17.2当中标人与重庆机电集团所属企业签订中标经济合同后，招标人将向其他投标人发出落标通知，招标人原则上对落标的投标人不作落标原因的解释。</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17.3中标通知书将是合同的组成部分。</w:t>
      </w:r>
    </w:p>
    <w:p>
      <w:pPr>
        <w:spacing w:line="540" w:lineRule="exact"/>
        <w:ind w:right="-176" w:rightChars="-84" w:firstLine="570"/>
        <w:rPr>
          <w:rFonts w:ascii="楷体" w:hAnsi="楷体" w:eastAsia="楷体"/>
          <w:b/>
          <w:sz w:val="28"/>
          <w:szCs w:val="28"/>
        </w:rPr>
      </w:pPr>
      <w:r>
        <w:rPr>
          <w:rFonts w:hint="eastAsia" w:ascii="楷体" w:hAnsi="楷体" w:eastAsia="楷体"/>
          <w:b/>
          <w:sz w:val="28"/>
          <w:szCs w:val="28"/>
        </w:rPr>
        <w:t>18.签订合同</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18.1中标人应按中标通知书规定的时间、地点与重庆机电集团所属企业签订中标经济合同，否则按开标后撤回投标处理。</w:t>
      </w:r>
    </w:p>
    <w:p>
      <w:pPr>
        <w:spacing w:line="540" w:lineRule="exact"/>
        <w:ind w:right="-176" w:rightChars="-84" w:firstLine="570"/>
        <w:rPr>
          <w:rFonts w:ascii="楷体" w:hAnsi="楷体" w:eastAsia="楷体"/>
          <w:sz w:val="28"/>
          <w:szCs w:val="28"/>
        </w:rPr>
      </w:pPr>
      <w:r>
        <w:rPr>
          <w:rFonts w:hint="eastAsia" w:ascii="楷体" w:hAnsi="楷体" w:eastAsia="楷体"/>
          <w:sz w:val="28"/>
          <w:szCs w:val="28"/>
        </w:rPr>
        <w:t>18.2招标文件、中标人的投标文件及评标过程中的有关澄清文件均应作为合同附件。</w:t>
      </w:r>
    </w:p>
    <w:p>
      <w:pPr>
        <w:spacing w:line="540" w:lineRule="exact"/>
        <w:ind w:right="-176" w:rightChars="-84"/>
        <w:jc w:val="center"/>
        <w:rPr>
          <w:rFonts w:ascii="黑体" w:hAnsi="黑体" w:eastAsia="黑体"/>
          <w:b/>
          <w:bCs/>
          <w:sz w:val="28"/>
          <w:szCs w:val="28"/>
        </w:rPr>
      </w:pPr>
      <w:r>
        <w:rPr>
          <w:rFonts w:hint="eastAsia" w:ascii="黑体" w:hAnsi="黑体" w:eastAsia="黑体"/>
          <w:b/>
          <w:sz w:val="36"/>
          <w:szCs w:val="36"/>
        </w:rPr>
        <w:t>第二部分：评标办法（综合评估法）</w:t>
      </w:r>
    </w:p>
    <w:p>
      <w:pPr>
        <w:spacing w:line="540" w:lineRule="exact"/>
        <w:ind w:right="-176" w:rightChars="-84"/>
        <w:rPr>
          <w:rFonts w:ascii="楷体" w:hAnsi="楷体" w:eastAsia="楷体"/>
          <w:bCs/>
          <w:sz w:val="28"/>
          <w:szCs w:val="28"/>
        </w:rPr>
      </w:pPr>
      <w:r>
        <w:rPr>
          <w:rFonts w:hint="eastAsia" w:ascii="楷体" w:hAnsi="楷体" w:eastAsia="楷体"/>
          <w:bCs/>
          <w:sz w:val="28"/>
          <w:szCs w:val="28"/>
        </w:rPr>
        <w:t>评标办法前附表</w:t>
      </w:r>
    </w:p>
    <w:tbl>
      <w:tblPr>
        <w:tblStyle w:val="8"/>
        <w:tblW w:w="8237" w:type="dxa"/>
        <w:tblInd w:w="93" w:type="dxa"/>
        <w:tblLayout w:type="fixed"/>
        <w:tblCellMar>
          <w:top w:w="0" w:type="dxa"/>
          <w:left w:w="108" w:type="dxa"/>
          <w:bottom w:w="0" w:type="dxa"/>
          <w:right w:w="108" w:type="dxa"/>
        </w:tblCellMar>
      </w:tblPr>
      <w:tblGrid>
        <w:gridCol w:w="2425"/>
        <w:gridCol w:w="5812"/>
      </w:tblGrid>
      <w:tr>
        <w:tblPrEx>
          <w:tblLayout w:type="fixed"/>
          <w:tblCellMar>
            <w:top w:w="0" w:type="dxa"/>
            <w:left w:w="108" w:type="dxa"/>
            <w:bottom w:w="0" w:type="dxa"/>
            <w:right w:w="108" w:type="dxa"/>
          </w:tblCellMar>
        </w:tblPrEx>
        <w:trPr>
          <w:trHeight w:val="390" w:hRule="atLeast"/>
        </w:trPr>
        <w:tc>
          <w:tcPr>
            <w:tcW w:w="242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黑体" w:eastAsia="黑体" w:cs="宋体"/>
                <w:b/>
                <w:bCs/>
                <w:color w:val="000000"/>
                <w:sz w:val="20"/>
                <w:szCs w:val="20"/>
              </w:rPr>
            </w:pPr>
            <w:r>
              <w:rPr>
                <w:rFonts w:hint="eastAsia" w:ascii="黑体" w:hAnsi="黑体" w:eastAsia="黑体"/>
                <w:b/>
                <w:bCs/>
                <w:color w:val="000000"/>
                <w:sz w:val="20"/>
                <w:szCs w:val="20"/>
              </w:rPr>
              <w:t>条款内容</w:t>
            </w:r>
          </w:p>
        </w:tc>
        <w:tc>
          <w:tcPr>
            <w:tcW w:w="5812" w:type="dxa"/>
            <w:tcBorders>
              <w:top w:val="single" w:color="auto" w:sz="4" w:space="0"/>
              <w:left w:val="nil"/>
              <w:bottom w:val="single" w:color="auto" w:sz="4" w:space="0"/>
              <w:right w:val="single" w:color="auto" w:sz="4" w:space="0"/>
            </w:tcBorders>
            <w:shd w:val="clear" w:color="auto" w:fill="auto"/>
            <w:vAlign w:val="center"/>
          </w:tcPr>
          <w:p>
            <w:pPr>
              <w:jc w:val="center"/>
              <w:rPr>
                <w:rFonts w:ascii="黑体" w:hAnsi="黑体" w:eastAsia="黑体" w:cs="宋体"/>
                <w:b/>
                <w:bCs/>
                <w:color w:val="000000"/>
                <w:sz w:val="20"/>
                <w:szCs w:val="20"/>
              </w:rPr>
            </w:pPr>
            <w:r>
              <w:rPr>
                <w:rFonts w:hint="eastAsia" w:ascii="黑体" w:hAnsi="黑体" w:eastAsia="黑体"/>
                <w:b/>
                <w:bCs/>
                <w:color w:val="000000"/>
                <w:sz w:val="20"/>
                <w:szCs w:val="20"/>
              </w:rPr>
              <w:t>编列内容</w:t>
            </w:r>
          </w:p>
        </w:tc>
      </w:tr>
      <w:tr>
        <w:tblPrEx>
          <w:tblLayout w:type="fixed"/>
          <w:tblCellMar>
            <w:top w:w="0" w:type="dxa"/>
            <w:left w:w="108" w:type="dxa"/>
            <w:bottom w:w="0" w:type="dxa"/>
            <w:right w:w="108" w:type="dxa"/>
          </w:tblCellMar>
        </w:tblPrEx>
        <w:trPr>
          <w:trHeight w:val="630" w:hRule="atLeast"/>
        </w:trPr>
        <w:tc>
          <w:tcPr>
            <w:tcW w:w="242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投标报价得分               （70分）</w:t>
            </w:r>
          </w:p>
        </w:tc>
        <w:tc>
          <w:tcPr>
            <w:tcW w:w="5812" w:type="dxa"/>
            <w:tcBorders>
              <w:top w:val="nil"/>
              <w:left w:val="nil"/>
              <w:bottom w:val="single" w:color="auto" w:sz="4" w:space="0"/>
              <w:right w:val="single" w:color="auto" w:sz="4" w:space="0"/>
            </w:tcBorders>
            <w:shd w:val="clear" w:color="auto" w:fill="auto"/>
            <w:vAlign w:val="center"/>
          </w:tcPr>
          <w:p>
            <w:pPr>
              <w:rPr>
                <w:rFonts w:cs="宋体"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投标报价得分：最低投标报价得60分。每高于最低投标报价0.1厘扣3分,报价的最低得分为22分</w:t>
            </w:r>
          </w:p>
        </w:tc>
      </w:tr>
      <w:tr>
        <w:tblPrEx>
          <w:tblLayout w:type="fixed"/>
          <w:tblCellMar>
            <w:top w:w="0" w:type="dxa"/>
            <w:left w:w="108" w:type="dxa"/>
            <w:bottom w:w="0" w:type="dxa"/>
            <w:right w:w="108" w:type="dxa"/>
          </w:tblCellMar>
        </w:tblPrEx>
        <w:trPr>
          <w:trHeight w:val="630" w:hRule="atLeast"/>
        </w:trPr>
        <w:tc>
          <w:tcPr>
            <w:tcW w:w="242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商务得分            （30分）</w:t>
            </w:r>
          </w:p>
        </w:tc>
        <w:tc>
          <w:tcPr>
            <w:tcW w:w="5812"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0"/>
                <w:szCs w:val="20"/>
              </w:rPr>
            </w:pPr>
            <w:r>
              <w:rPr>
                <w:rFonts w:hint="eastAsia"/>
                <w:color w:val="000000"/>
                <w:sz w:val="20"/>
                <w:szCs w:val="20"/>
              </w:rPr>
              <w:t>安全供电及服务保障能力承诺文件（10分）、以往合作情况（10分）、增值服务能力及成功案例展示（20分）</w:t>
            </w:r>
          </w:p>
        </w:tc>
      </w:tr>
      <w:tr>
        <w:tblPrEx>
          <w:tblLayout w:type="fixed"/>
          <w:tblCellMar>
            <w:top w:w="0" w:type="dxa"/>
            <w:left w:w="108" w:type="dxa"/>
            <w:bottom w:w="0" w:type="dxa"/>
            <w:right w:w="108" w:type="dxa"/>
          </w:tblCellMar>
        </w:tblPrEx>
        <w:trPr>
          <w:trHeight w:val="630" w:hRule="atLeast"/>
        </w:trPr>
        <w:tc>
          <w:tcPr>
            <w:tcW w:w="2425"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0"/>
                <w:szCs w:val="20"/>
              </w:rPr>
            </w:pPr>
            <w:r>
              <w:rPr>
                <w:rFonts w:hint="eastAsia"/>
                <w:color w:val="000000"/>
                <w:sz w:val="20"/>
                <w:szCs w:val="20"/>
              </w:rPr>
              <w:t>总得分             （100分）</w:t>
            </w:r>
          </w:p>
        </w:tc>
        <w:tc>
          <w:tcPr>
            <w:tcW w:w="5812" w:type="dxa"/>
            <w:tcBorders>
              <w:top w:val="nil"/>
              <w:left w:val="nil"/>
              <w:bottom w:val="single" w:color="auto" w:sz="4" w:space="0"/>
              <w:right w:val="single" w:color="auto" w:sz="4" w:space="0"/>
            </w:tcBorders>
            <w:shd w:val="clear" w:color="auto" w:fill="auto"/>
            <w:vAlign w:val="center"/>
          </w:tcPr>
          <w:p>
            <w:pPr>
              <w:rPr>
                <w:rFonts w:ascii="宋体" w:hAnsi="宋体" w:cs="宋体"/>
                <w:color w:val="000000"/>
                <w:sz w:val="20"/>
                <w:szCs w:val="20"/>
              </w:rPr>
            </w:pPr>
            <w:r>
              <w:rPr>
                <w:rFonts w:hint="eastAsia"/>
                <w:color w:val="000000"/>
                <w:sz w:val="20"/>
                <w:szCs w:val="20"/>
              </w:rPr>
              <w:t>总得分（100分）=投标报价得分（60分）+商务得分（40分）</w:t>
            </w:r>
          </w:p>
        </w:tc>
      </w:tr>
    </w:tbl>
    <w:p>
      <w:pPr>
        <w:spacing w:line="560" w:lineRule="exact"/>
        <w:ind w:firstLine="562" w:firstLineChars="200"/>
        <w:rPr>
          <w:rFonts w:ascii="楷体" w:hAnsi="楷体" w:eastAsia="楷体"/>
          <w:b/>
          <w:sz w:val="28"/>
          <w:szCs w:val="28"/>
        </w:rPr>
      </w:pPr>
      <w:r>
        <w:rPr>
          <w:rFonts w:hint="eastAsia" w:ascii="楷体" w:hAnsi="楷体" w:eastAsia="楷体"/>
          <w:b/>
          <w:bCs/>
          <w:sz w:val="28"/>
          <w:szCs w:val="28"/>
        </w:rPr>
        <w:t>一、</w:t>
      </w:r>
      <w:r>
        <w:rPr>
          <w:rFonts w:hint="eastAsia" w:ascii="楷体" w:hAnsi="楷体" w:eastAsia="楷体"/>
          <w:b/>
          <w:sz w:val="28"/>
          <w:szCs w:val="28"/>
        </w:rPr>
        <w:t>评标原则：</w:t>
      </w:r>
    </w:p>
    <w:p>
      <w:pPr>
        <w:spacing w:line="560" w:lineRule="exact"/>
        <w:ind w:left="570"/>
        <w:rPr>
          <w:rFonts w:ascii="楷体" w:hAnsi="楷体" w:eastAsia="楷体"/>
          <w:sz w:val="28"/>
          <w:szCs w:val="28"/>
        </w:rPr>
      </w:pPr>
      <w:r>
        <w:rPr>
          <w:rFonts w:hint="eastAsia" w:ascii="楷体" w:hAnsi="楷体" w:eastAsia="楷体"/>
          <w:sz w:val="28"/>
          <w:szCs w:val="28"/>
        </w:rPr>
        <w:t>1.1招标人根据招标项目特点依法组建评标委员会，与投标人有</w:t>
      </w:r>
    </w:p>
    <w:p>
      <w:pPr>
        <w:spacing w:line="560" w:lineRule="exact"/>
        <w:rPr>
          <w:rFonts w:ascii="楷体" w:hAnsi="楷体" w:eastAsia="楷体"/>
          <w:sz w:val="28"/>
          <w:szCs w:val="28"/>
        </w:rPr>
      </w:pPr>
      <w:r>
        <w:rPr>
          <w:rFonts w:hint="eastAsia" w:ascii="楷体" w:hAnsi="楷体" w:eastAsia="楷体"/>
          <w:sz w:val="28"/>
          <w:szCs w:val="28"/>
        </w:rPr>
        <w:t>关联的人员不得进入相关项目的评标委员会。</w:t>
      </w:r>
    </w:p>
    <w:p>
      <w:pPr>
        <w:spacing w:line="560" w:lineRule="exact"/>
        <w:ind w:firstLine="570"/>
        <w:rPr>
          <w:rFonts w:ascii="楷体" w:hAnsi="楷体" w:eastAsia="楷体"/>
          <w:sz w:val="28"/>
          <w:szCs w:val="28"/>
        </w:rPr>
      </w:pPr>
      <w:r>
        <w:rPr>
          <w:rFonts w:hint="eastAsia" w:ascii="楷体" w:hAnsi="楷体" w:eastAsia="楷体"/>
          <w:sz w:val="28"/>
          <w:szCs w:val="28"/>
        </w:rPr>
        <w:t>1.2我司保证评标在严格保密的情况下进行，并遵循公开、公平、公正和诚实信用的原则。</w:t>
      </w:r>
    </w:p>
    <w:p>
      <w:pPr>
        <w:spacing w:line="560" w:lineRule="exact"/>
        <w:ind w:firstLine="570"/>
        <w:rPr>
          <w:rFonts w:ascii="楷体" w:hAnsi="楷体" w:eastAsia="楷体"/>
          <w:sz w:val="28"/>
          <w:szCs w:val="28"/>
        </w:rPr>
      </w:pPr>
      <w:r>
        <w:rPr>
          <w:rFonts w:hint="eastAsia" w:ascii="楷体" w:hAnsi="楷体" w:eastAsia="楷体"/>
          <w:sz w:val="28"/>
          <w:szCs w:val="28"/>
        </w:rPr>
        <w:t>1.3评标委员会可以要求投标人对投标文件中含义不明确的内容在开、评标时作必要的澄清或者说明，但澄清或者说明不得超出投标文件的范围或者改变投标文件的实质性内容。</w:t>
      </w:r>
    </w:p>
    <w:p>
      <w:pPr>
        <w:spacing w:line="560" w:lineRule="exact"/>
        <w:ind w:firstLine="570"/>
        <w:rPr>
          <w:rFonts w:ascii="楷体" w:hAnsi="楷体" w:eastAsia="楷体"/>
          <w:sz w:val="28"/>
          <w:szCs w:val="28"/>
        </w:rPr>
      </w:pPr>
      <w:r>
        <w:rPr>
          <w:rFonts w:hint="eastAsia" w:ascii="楷体" w:hAnsi="楷体" w:eastAsia="楷体"/>
          <w:sz w:val="28"/>
          <w:szCs w:val="28"/>
        </w:rPr>
        <w:t>1.4评标委员会严格按照招标文件的要求和条件进行评标。</w:t>
      </w:r>
    </w:p>
    <w:p>
      <w:pPr>
        <w:spacing w:line="560" w:lineRule="exact"/>
        <w:ind w:firstLine="570"/>
        <w:rPr>
          <w:rFonts w:ascii="楷体" w:hAnsi="楷体" w:eastAsia="楷体"/>
          <w:sz w:val="28"/>
          <w:szCs w:val="28"/>
        </w:rPr>
      </w:pPr>
      <w:r>
        <w:rPr>
          <w:rFonts w:hint="eastAsia" w:ascii="楷体" w:hAnsi="楷体" w:eastAsia="楷体"/>
          <w:sz w:val="28"/>
          <w:szCs w:val="28"/>
        </w:rPr>
        <w:t>1.5在确定中标人前，招标人不得与投标人就价格、投标方案等实质性内容进行谈判。</w:t>
      </w:r>
    </w:p>
    <w:p>
      <w:pPr>
        <w:spacing w:line="540" w:lineRule="exact"/>
        <w:ind w:right="-176" w:rightChars="-84" w:firstLine="551" w:firstLineChars="196"/>
        <w:rPr>
          <w:rFonts w:ascii="楷体" w:hAnsi="楷体" w:eastAsia="楷体"/>
          <w:b/>
          <w:bCs/>
          <w:sz w:val="28"/>
          <w:szCs w:val="28"/>
        </w:rPr>
      </w:pPr>
      <w:r>
        <w:rPr>
          <w:rFonts w:hint="eastAsia" w:ascii="楷体" w:hAnsi="楷体" w:eastAsia="楷体"/>
          <w:b/>
          <w:bCs/>
          <w:sz w:val="28"/>
          <w:szCs w:val="28"/>
        </w:rPr>
        <w:t>二、评标方法</w:t>
      </w:r>
    </w:p>
    <w:p>
      <w:pPr>
        <w:spacing w:line="54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2.1本项目采用综合评估法：按总分由高至低排序，具体计算公式见《评标办法前附表》。</w:t>
      </w:r>
    </w:p>
    <w:p>
      <w:pPr>
        <w:spacing w:line="54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2.2招标人对投标文件的判定，仅依据投标文件内容本身，不依据开标后的任何外来证明。</w:t>
      </w:r>
    </w:p>
    <w:p>
      <w:pPr>
        <w:spacing w:line="54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三、评审标准</w:t>
      </w:r>
    </w:p>
    <w:p>
      <w:pPr>
        <w:spacing w:line="54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投标文件及投标报价的评审，若出现下列情况之一，则投标文件作废标处理：</w:t>
      </w:r>
    </w:p>
    <w:p>
      <w:pPr>
        <w:spacing w:line="54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3.1投标文件未满足投标须知第20项的内容和填报要求的；</w:t>
      </w:r>
    </w:p>
    <w:p>
      <w:pPr>
        <w:spacing w:line="54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3.2投标人有符合投标须知第23项规定的；</w:t>
      </w:r>
    </w:p>
    <w:p>
      <w:pPr>
        <w:spacing w:line="540" w:lineRule="exact"/>
        <w:ind w:right="-176" w:rightChars="-84" w:firstLine="560" w:firstLineChars="200"/>
        <w:rPr>
          <w:rFonts w:ascii="楷体" w:hAnsi="楷体" w:eastAsia="楷体"/>
          <w:bCs/>
          <w:sz w:val="28"/>
          <w:szCs w:val="28"/>
        </w:rPr>
      </w:pPr>
      <w:r>
        <w:rPr>
          <w:rFonts w:hint="eastAsia" w:ascii="楷体" w:hAnsi="楷体" w:eastAsia="楷体"/>
          <w:bCs/>
          <w:sz w:val="28"/>
          <w:szCs w:val="28"/>
        </w:rPr>
        <w:t>3.3投标人的投标报价明显偏离市场价格，经评标委员会认定为恶意竞标的。</w:t>
      </w:r>
    </w:p>
    <w:p>
      <w:pPr>
        <w:spacing w:line="540" w:lineRule="exact"/>
        <w:ind w:right="-176" w:rightChars="-84" w:firstLine="562" w:firstLineChars="200"/>
        <w:rPr>
          <w:rFonts w:ascii="楷体" w:hAnsi="楷体" w:eastAsia="楷体"/>
          <w:b/>
          <w:bCs/>
          <w:sz w:val="28"/>
          <w:szCs w:val="28"/>
        </w:rPr>
      </w:pPr>
      <w:r>
        <w:rPr>
          <w:rFonts w:hint="eastAsia" w:ascii="楷体" w:hAnsi="楷体" w:eastAsia="楷体"/>
          <w:b/>
          <w:bCs/>
          <w:sz w:val="28"/>
          <w:szCs w:val="28"/>
        </w:rPr>
        <w:t>四、中标结果发布</w:t>
      </w:r>
    </w:p>
    <w:p>
      <w:pPr>
        <w:spacing w:line="540" w:lineRule="exact"/>
        <w:ind w:firstLine="560" w:firstLineChars="200"/>
        <w:rPr>
          <w:rFonts w:ascii="楷体" w:hAnsi="楷体" w:eastAsia="楷体"/>
          <w:sz w:val="28"/>
          <w:szCs w:val="28"/>
        </w:rPr>
      </w:pPr>
      <w:r>
        <w:rPr>
          <w:rFonts w:ascii="楷体" w:hAnsi="楷体" w:eastAsia="楷体"/>
          <w:sz w:val="28"/>
          <w:szCs w:val="28"/>
        </w:rPr>
        <w:t>4.1</w:t>
      </w:r>
      <w:r>
        <w:rPr>
          <w:rFonts w:hint="eastAsia" w:ascii="楷体" w:hAnsi="楷体" w:eastAsia="楷体"/>
          <w:sz w:val="28"/>
          <w:szCs w:val="28"/>
        </w:rPr>
        <w:t>中标人在履约过程中执行由</w:t>
      </w:r>
      <w:r>
        <w:rPr>
          <w:rFonts w:hint="eastAsia" w:ascii="楷体" w:hAnsi="楷体" w:eastAsia="楷体"/>
          <w:bCs/>
          <w:sz w:val="28"/>
          <w:szCs w:val="28"/>
        </w:rPr>
        <w:t>招标人</w:t>
      </w:r>
      <w:r>
        <w:rPr>
          <w:rFonts w:hint="eastAsia" w:ascii="楷体" w:hAnsi="楷体" w:eastAsia="楷体"/>
          <w:sz w:val="28"/>
          <w:szCs w:val="28"/>
        </w:rPr>
        <w:t>统一发布的执行价。</w:t>
      </w:r>
    </w:p>
    <w:p>
      <w:pPr>
        <w:spacing w:line="560" w:lineRule="exact"/>
        <w:ind w:firstLine="570"/>
        <w:rPr>
          <w:rFonts w:ascii="楷体" w:hAnsi="楷体" w:eastAsia="楷体"/>
          <w:sz w:val="28"/>
          <w:szCs w:val="28"/>
        </w:rPr>
      </w:pPr>
      <w:r>
        <w:rPr>
          <w:rFonts w:ascii="楷体" w:hAnsi="楷体" w:eastAsia="楷体"/>
          <w:sz w:val="28"/>
          <w:szCs w:val="28"/>
        </w:rPr>
        <w:t>4.2</w:t>
      </w:r>
      <w:r>
        <w:rPr>
          <w:rFonts w:hint="eastAsia" w:ascii="楷体" w:hAnsi="楷体" w:eastAsia="楷体"/>
          <w:sz w:val="28"/>
          <w:szCs w:val="28"/>
        </w:rPr>
        <w:t>中标人确定后，由</w:t>
      </w:r>
      <w:r>
        <w:rPr>
          <w:rFonts w:hint="eastAsia" w:ascii="楷体" w:hAnsi="楷体" w:eastAsia="楷体"/>
          <w:bCs/>
          <w:sz w:val="28"/>
          <w:szCs w:val="28"/>
        </w:rPr>
        <w:t>招标人</w:t>
      </w:r>
      <w:r>
        <w:rPr>
          <w:rFonts w:hint="eastAsia" w:ascii="楷体" w:hAnsi="楷体" w:eastAsia="楷体"/>
          <w:sz w:val="28"/>
          <w:szCs w:val="28"/>
        </w:rPr>
        <w:t>向中标人发出书面中标通知书，并同时将招标结果通知所有未中标的投标人。</w:t>
      </w:r>
    </w:p>
    <w:p>
      <w:pPr>
        <w:spacing w:line="560" w:lineRule="exact"/>
        <w:ind w:firstLine="570"/>
        <w:rPr>
          <w:rFonts w:ascii="楷体" w:hAnsi="楷体" w:eastAsia="楷体"/>
          <w:sz w:val="28"/>
          <w:szCs w:val="28"/>
        </w:rPr>
      </w:pPr>
      <w:r>
        <w:rPr>
          <w:rFonts w:ascii="楷体" w:hAnsi="楷体" w:eastAsia="楷体"/>
          <w:sz w:val="28"/>
          <w:szCs w:val="28"/>
        </w:rPr>
        <w:t>4.3</w:t>
      </w:r>
      <w:r>
        <w:rPr>
          <w:rFonts w:hint="eastAsia" w:ascii="楷体" w:hAnsi="楷体" w:eastAsia="楷体"/>
          <w:bCs/>
          <w:sz w:val="28"/>
          <w:szCs w:val="28"/>
        </w:rPr>
        <w:t>招标人</w:t>
      </w:r>
      <w:r>
        <w:rPr>
          <w:rFonts w:hint="eastAsia" w:ascii="楷体" w:hAnsi="楷体" w:eastAsia="楷体"/>
          <w:sz w:val="28"/>
          <w:szCs w:val="28"/>
        </w:rPr>
        <w:t>负责向重庆机电集团有关单位通报招标结果。</w:t>
      </w:r>
    </w:p>
    <w:p>
      <w:pPr>
        <w:spacing w:line="560" w:lineRule="exact"/>
        <w:ind w:firstLine="570"/>
        <w:rPr>
          <w:rFonts w:ascii="楷体" w:hAnsi="楷体" w:eastAsia="楷体"/>
          <w:sz w:val="28"/>
          <w:szCs w:val="28"/>
        </w:rPr>
      </w:pPr>
      <w:r>
        <w:rPr>
          <w:rFonts w:ascii="楷体" w:hAnsi="楷体" w:eastAsia="楷体"/>
          <w:sz w:val="28"/>
          <w:szCs w:val="28"/>
        </w:rPr>
        <w:t>4.4</w:t>
      </w:r>
      <w:r>
        <w:rPr>
          <w:rFonts w:hint="eastAsia" w:ascii="楷体" w:hAnsi="楷体" w:eastAsia="楷体"/>
          <w:sz w:val="28"/>
          <w:szCs w:val="28"/>
        </w:rPr>
        <w:t>中标通知书发出后，中标人放弃中标项目的，招标人依法保留向违约方追究法律责任的权力。</w:t>
      </w:r>
    </w:p>
    <w:p>
      <w:pPr>
        <w:spacing w:line="560" w:lineRule="exact"/>
        <w:ind w:firstLine="570"/>
        <w:rPr>
          <w:rFonts w:ascii="楷体" w:hAnsi="楷体" w:eastAsia="楷体"/>
          <w:b/>
          <w:sz w:val="28"/>
          <w:szCs w:val="28"/>
        </w:rPr>
      </w:pPr>
      <w:r>
        <w:rPr>
          <w:rFonts w:hint="eastAsia" w:ascii="楷体" w:hAnsi="楷体" w:eastAsia="楷体"/>
          <w:b/>
          <w:sz w:val="28"/>
          <w:szCs w:val="28"/>
        </w:rPr>
        <w:t>五、执行要求</w:t>
      </w:r>
    </w:p>
    <w:p>
      <w:pPr>
        <w:spacing w:line="560" w:lineRule="exact"/>
        <w:ind w:firstLine="570"/>
        <w:rPr>
          <w:rFonts w:ascii="楷体" w:hAnsi="楷体" w:eastAsia="楷体"/>
          <w:sz w:val="28"/>
          <w:szCs w:val="28"/>
        </w:rPr>
      </w:pPr>
      <w:r>
        <w:rPr>
          <w:rFonts w:hint="eastAsia" w:ascii="楷体" w:hAnsi="楷体" w:eastAsia="楷体"/>
          <w:sz w:val="28"/>
          <w:szCs w:val="28"/>
        </w:rPr>
        <w:t>5.1由</w:t>
      </w:r>
      <w:r>
        <w:rPr>
          <w:rFonts w:hint="eastAsia" w:ascii="楷体" w:hAnsi="楷体" w:eastAsia="楷体"/>
          <w:bCs/>
          <w:sz w:val="28"/>
          <w:szCs w:val="28"/>
        </w:rPr>
        <w:t>重庆机电集团所属企业</w:t>
      </w:r>
      <w:r>
        <w:rPr>
          <w:rFonts w:hint="eastAsia" w:ascii="楷体" w:hAnsi="楷体" w:eastAsia="楷体"/>
          <w:sz w:val="28"/>
          <w:szCs w:val="28"/>
        </w:rPr>
        <w:t>与中标人签订书面供货合同并执行。</w:t>
      </w:r>
    </w:p>
    <w:p>
      <w:pPr>
        <w:spacing w:line="560" w:lineRule="exact"/>
        <w:ind w:firstLine="560" w:firstLineChars="200"/>
        <w:rPr>
          <w:rFonts w:ascii="楷体" w:hAnsi="楷体" w:eastAsia="楷体"/>
          <w:sz w:val="28"/>
          <w:szCs w:val="28"/>
        </w:rPr>
      </w:pPr>
      <w:r>
        <w:rPr>
          <w:rFonts w:hint="eastAsia" w:ascii="楷体" w:hAnsi="楷体" w:eastAsia="楷体"/>
          <w:sz w:val="28"/>
          <w:szCs w:val="28"/>
        </w:rPr>
        <w:t>5.2</w:t>
      </w:r>
      <w:r>
        <w:rPr>
          <w:rFonts w:hint="eastAsia" w:ascii="楷体" w:hAnsi="楷体" w:eastAsia="楷体"/>
          <w:bCs/>
          <w:sz w:val="28"/>
          <w:szCs w:val="28"/>
        </w:rPr>
        <w:t>招标人</w:t>
      </w:r>
      <w:r>
        <w:rPr>
          <w:rFonts w:hint="eastAsia" w:ascii="楷体" w:hAnsi="楷体" w:eastAsia="楷体"/>
          <w:sz w:val="28"/>
          <w:szCs w:val="28"/>
        </w:rPr>
        <w:t>与标的需求企业共同负责对中标人进行业绩评价。对1次业绩评价不合格的中标人亮黄牌警告，要求限期整改；对连续2次业绩评价不合格的中标人亮红牌警告，要求限期整改，并处罚金；对连续3次业绩评价不合格的中标人取消当年供电合同。</w:t>
      </w:r>
    </w:p>
    <w:p>
      <w:pPr>
        <w:spacing w:line="560" w:lineRule="exact"/>
        <w:ind w:firstLine="570"/>
        <w:rPr>
          <w:rFonts w:ascii="华文楷体" w:hAnsi="华文楷体" w:eastAsia="华文楷体"/>
          <w:b/>
          <w:sz w:val="28"/>
          <w:szCs w:val="28"/>
        </w:rPr>
      </w:pPr>
      <w:r>
        <w:rPr>
          <w:rFonts w:hint="eastAsia" w:ascii="华文楷体" w:hAnsi="华文楷体" w:eastAsia="华文楷体"/>
          <w:b/>
          <w:sz w:val="28"/>
          <w:szCs w:val="28"/>
        </w:rPr>
        <w:t>六、监督检查</w:t>
      </w:r>
    </w:p>
    <w:p>
      <w:pPr>
        <w:spacing w:line="560" w:lineRule="exact"/>
        <w:ind w:firstLine="570"/>
        <w:rPr>
          <w:rFonts w:ascii="华文楷体" w:hAnsi="华文楷体" w:eastAsia="华文楷体"/>
          <w:b/>
          <w:sz w:val="28"/>
          <w:szCs w:val="28"/>
        </w:rPr>
      </w:pPr>
      <w:r>
        <w:rPr>
          <w:rFonts w:hint="eastAsia" w:ascii="华文楷体" w:hAnsi="华文楷体" w:eastAsia="华文楷体"/>
          <w:sz w:val="28"/>
          <w:szCs w:val="28"/>
        </w:rPr>
        <w:t>6.1为强化招投标活动公开、公平、公正及诚实信用原则，有效防范经营风险和道德风险，重庆机电集团特设置反舞弊举报电话：</w:t>
      </w:r>
      <w:r>
        <w:rPr>
          <w:rFonts w:hint="eastAsia" w:ascii="华文楷体" w:hAnsi="华文楷体" w:eastAsia="华文楷体"/>
          <w:b/>
          <w:sz w:val="28"/>
          <w:szCs w:val="28"/>
        </w:rPr>
        <w:t>023-63075705。</w:t>
      </w:r>
    </w:p>
    <w:p>
      <w:pPr>
        <w:spacing w:line="560" w:lineRule="exact"/>
        <w:ind w:firstLine="570"/>
        <w:rPr>
          <w:rFonts w:ascii="华文楷体" w:hAnsi="华文楷体" w:eastAsia="华文楷体"/>
          <w:b/>
          <w:sz w:val="28"/>
          <w:szCs w:val="28"/>
        </w:rPr>
      </w:pPr>
    </w:p>
    <w:p>
      <w:pPr>
        <w:spacing w:line="560" w:lineRule="exact"/>
        <w:ind w:firstLine="570"/>
        <w:rPr>
          <w:rFonts w:ascii="华文楷体" w:hAnsi="华文楷体" w:eastAsia="华文楷体"/>
          <w:b/>
          <w:sz w:val="28"/>
          <w:szCs w:val="28"/>
        </w:rPr>
      </w:pPr>
    </w:p>
    <w:p>
      <w:pPr>
        <w:pStyle w:val="2"/>
        <w:spacing w:line="580" w:lineRule="exact"/>
        <w:jc w:val="center"/>
        <w:rPr>
          <w:rFonts w:ascii="黑体" w:hAnsi="宋体"/>
          <w:sz w:val="36"/>
          <w:szCs w:val="36"/>
        </w:rPr>
      </w:pPr>
      <w:r>
        <w:rPr>
          <w:rFonts w:hint="eastAsia" w:ascii="黑体" w:hAnsi="宋体"/>
          <w:sz w:val="36"/>
          <w:szCs w:val="36"/>
        </w:rPr>
        <w:t>第三部分：主要合同条款</w:t>
      </w:r>
    </w:p>
    <w:p>
      <w:pPr>
        <w:spacing w:beforeLines="100" w:line="500" w:lineRule="exact"/>
        <w:jc w:val="center"/>
        <w:rPr>
          <w:rFonts w:ascii="楷体" w:hAnsi="楷体" w:eastAsia="楷体"/>
          <w:b/>
          <w:sz w:val="32"/>
          <w:szCs w:val="32"/>
        </w:rPr>
      </w:pPr>
      <w:r>
        <w:rPr>
          <w:rFonts w:hint="eastAsia" w:ascii="楷体" w:hAnsi="楷体" w:eastAsia="楷体"/>
          <w:b/>
          <w:sz w:val="32"/>
          <w:szCs w:val="32"/>
        </w:rPr>
        <w:t>重庆市电力用户与发电企业电力直接交易协议书</w:t>
      </w:r>
    </w:p>
    <w:p>
      <w:pPr>
        <w:adjustRightInd w:val="0"/>
        <w:snapToGrid w:val="0"/>
        <w:spacing w:line="500" w:lineRule="exact"/>
        <w:jc w:val="center"/>
        <w:rPr>
          <w:rFonts w:ascii="楷体_GB2312" w:hAnsi="楷体" w:eastAsia="楷体_GB2312"/>
          <w:b/>
          <w:sz w:val="28"/>
          <w:szCs w:val="28"/>
        </w:rPr>
      </w:pPr>
      <w:r>
        <w:rPr>
          <w:rFonts w:hint="eastAsia" w:ascii="楷体_GB2312" w:hAnsi="楷体" w:eastAsia="楷体_GB2312"/>
          <w:b/>
        </w:rPr>
        <w:t>（参考格式，最终版本以电力公司合同范本为准）</w:t>
      </w:r>
    </w:p>
    <w:p>
      <w:pPr>
        <w:adjustRightInd w:val="0"/>
        <w:snapToGrid w:val="0"/>
        <w:spacing w:line="500" w:lineRule="exact"/>
        <w:rPr>
          <w:rFonts w:ascii="楷体" w:hAnsi="楷体" w:eastAsia="楷体"/>
          <w:sz w:val="28"/>
          <w:szCs w:val="28"/>
        </w:rPr>
      </w:pPr>
      <w:r>
        <w:rPr>
          <w:rFonts w:hint="eastAsia" w:ascii="楷体" w:hAnsi="楷体" w:eastAsia="楷体"/>
          <w:sz w:val="28"/>
          <w:szCs w:val="28"/>
        </w:rPr>
        <w:t>甲方（购电方：电力用户）系一家具有法人资格的</w:t>
      </w:r>
      <w:r>
        <w:rPr>
          <w:rFonts w:hint="eastAsia" w:ascii="楷体" w:hAnsi="楷体" w:eastAsia="楷体"/>
          <w:sz w:val="28"/>
          <w:szCs w:val="28"/>
          <w:u w:val="single"/>
        </w:rPr>
        <w:t>用电</w:t>
      </w:r>
      <w:r>
        <w:rPr>
          <w:rFonts w:hint="eastAsia" w:ascii="楷体" w:hAnsi="楷体" w:eastAsia="楷体"/>
          <w:sz w:val="28"/>
          <w:szCs w:val="28"/>
        </w:rPr>
        <w:t>企业，电力用户编码，供电单位，企业所在地为，在登记注册，统一社会信用代码：，住所：，法定代表人/授权代理人：</w:t>
      </w:r>
      <w:r>
        <w:rPr>
          <w:rFonts w:ascii="楷体" w:hAnsi="楷体" w:eastAsia="楷体"/>
          <w:sz w:val="28"/>
          <w:szCs w:val="28"/>
        </w:rPr>
        <w:t xml:space="preserve"> </w:t>
      </w:r>
    </w:p>
    <w:p>
      <w:pPr>
        <w:adjustRightInd w:val="0"/>
        <w:snapToGrid w:val="0"/>
        <w:spacing w:line="500" w:lineRule="exact"/>
        <w:ind w:firstLine="560" w:firstLineChars="200"/>
        <w:rPr>
          <w:rFonts w:ascii="楷体" w:hAnsi="楷体" w:eastAsia="楷体"/>
          <w:sz w:val="28"/>
          <w:szCs w:val="28"/>
        </w:rPr>
      </w:pP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乙方（售电方：发电企业）：系一家具有法人资格/经法人单位授权的电力生产企业，已取得本协议所指电厂（机组）发电业务许可证（许可证编号：），企业所在地为，在市场监督管理局登记注册，统一社会信用代码：，住所：，法定代表人/授权代理人：</w:t>
      </w:r>
    </w:p>
    <w:p>
      <w:pPr>
        <w:adjustRightInd w:val="0"/>
        <w:snapToGrid w:val="0"/>
        <w:spacing w:line="500" w:lineRule="exact"/>
        <w:ind w:firstLine="560" w:firstLineChars="200"/>
        <w:rPr>
          <w:rFonts w:ascii="楷体" w:hAnsi="楷体" w:eastAsia="楷体"/>
          <w:sz w:val="28"/>
          <w:szCs w:val="28"/>
        </w:rPr>
      </w:pP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甲、乙双方拟通过国网重庆市电力公司（输配电方）完成购售电直接交易，根据国家有关法律、法规，按照《重庆市电力用户与发电企业直接交易试点方案》（</w:t>
      </w:r>
      <w:r>
        <w:rPr>
          <w:rFonts w:ascii="楷体" w:hAnsi="楷体" w:eastAsia="楷体"/>
          <w:sz w:val="28"/>
          <w:szCs w:val="28"/>
        </w:rPr>
        <w:t>渝府办发〔2015〕99号</w:t>
      </w:r>
      <w:r>
        <w:rPr>
          <w:rFonts w:hint="eastAsia" w:ascii="楷体" w:hAnsi="楷体" w:eastAsia="楷体"/>
          <w:sz w:val="28"/>
          <w:szCs w:val="28"/>
        </w:rPr>
        <w:t>）和《关于印发重庆市电力中长期交易实施细则（暂行）的通知》（渝经信发〔2018〕57号）等文件，本着平等、自愿、公平和诚信的原则，经协商一致，达成本意向性交易，约定如下：</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一、甲方于      年  月至   月向乙方购电万千瓦时，电量以实际结算电量为准。</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二、乙方在批复上网电价基础上的发电侧让利元/千瓦时，乙方发电侧交易价格=发电侧批复上网电价-发电侧让利。</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三、甲方支付的直接交易购电价格中（不含基本电费），用户侧的交易价格=甲方目录电价-发电侧让利-输配电度电价-政府性基金及附加，用户电度电价=用户侧交易价格+输配电度电价+政府性基金及附加。期间，如遇政府调整计算方法，则按新方法执行，双方不再重新签订协议。</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四、期间，如遇国家调整电价，甲乙双方在保证发电侧让利不变情况下调整发电侧交易价格、用户侧交易价格和到户电度电价，双方不再重新签订协议。</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本协议一式柒份，甲乙双方各执两份，交重庆市经济和信息化委员会、国网重庆市电力公司和重庆电力交易中心有限公司各一份备案。</w:t>
      </w:r>
    </w:p>
    <w:p>
      <w:pPr>
        <w:adjustRightInd w:val="0"/>
        <w:snapToGrid w:val="0"/>
        <w:spacing w:line="500" w:lineRule="exact"/>
        <w:rPr>
          <w:rFonts w:ascii="楷体" w:hAnsi="楷体" w:eastAsia="楷体"/>
          <w:sz w:val="28"/>
          <w:szCs w:val="28"/>
        </w:rPr>
      </w:pP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 xml:space="preserve">甲方：                              乙方：                      </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法人代表/授权代理人:          法人代表/授权代理人:</w:t>
      </w:r>
    </w:p>
    <w:p>
      <w:pPr>
        <w:adjustRightInd w:val="0"/>
        <w:snapToGrid w:val="0"/>
        <w:spacing w:line="500" w:lineRule="exact"/>
        <w:ind w:firstLine="560" w:firstLineChars="200"/>
        <w:rPr>
          <w:rFonts w:ascii="楷体" w:hAnsi="楷体" w:eastAsia="楷体"/>
          <w:sz w:val="28"/>
          <w:szCs w:val="28"/>
        </w:rPr>
      </w:pPr>
      <w:r>
        <w:rPr>
          <w:rFonts w:hint="eastAsia" w:ascii="楷体" w:hAnsi="楷体" w:eastAsia="楷体"/>
          <w:sz w:val="28"/>
          <w:szCs w:val="28"/>
        </w:rPr>
        <w:t>单位签章：                        单位签章：</w:t>
      </w:r>
    </w:p>
    <w:p>
      <w:pPr>
        <w:adjustRightInd w:val="0"/>
        <w:snapToGrid w:val="0"/>
        <w:spacing w:line="500" w:lineRule="exact"/>
        <w:ind w:firstLine="560" w:firstLineChars="200"/>
        <w:rPr>
          <w:rFonts w:ascii="楷体" w:hAnsi="楷体" w:eastAsia="楷体"/>
          <w:sz w:val="28"/>
          <w:szCs w:val="28"/>
        </w:rPr>
      </w:pPr>
    </w:p>
    <w:p>
      <w:pPr>
        <w:adjustRightInd w:val="0"/>
        <w:snapToGrid w:val="0"/>
        <w:spacing w:line="500" w:lineRule="exact"/>
        <w:jc w:val="center"/>
        <w:rPr>
          <w:rFonts w:ascii="楷体" w:hAnsi="楷体" w:eastAsia="楷体"/>
          <w:sz w:val="28"/>
          <w:szCs w:val="28"/>
        </w:rPr>
      </w:pPr>
      <w:r>
        <w:rPr>
          <w:rFonts w:hint="eastAsia" w:ascii="楷体" w:hAnsi="楷体" w:eastAsia="楷体"/>
          <w:sz w:val="28"/>
          <w:szCs w:val="28"/>
        </w:rPr>
        <w:t>签约时间：    年  月  日</w:t>
      </w:r>
    </w:p>
    <w:p>
      <w:pPr>
        <w:widowControl/>
        <w:spacing w:line="500" w:lineRule="exact"/>
        <w:rPr>
          <w:rFonts w:ascii="楷体" w:hAnsi="楷体" w:eastAsia="楷体"/>
          <w:sz w:val="28"/>
          <w:szCs w:val="28"/>
        </w:rPr>
      </w:pPr>
      <w:r>
        <w:rPr>
          <w:rFonts w:ascii="楷体" w:hAnsi="楷体" w:eastAsia="楷体"/>
          <w:sz w:val="28"/>
          <w:szCs w:val="28"/>
        </w:rPr>
        <w:br w:type="page"/>
      </w:r>
    </w:p>
    <w:p>
      <w:pPr>
        <w:pStyle w:val="2"/>
        <w:spacing w:line="540" w:lineRule="exact"/>
        <w:jc w:val="center"/>
        <w:rPr>
          <w:rFonts w:ascii="黑体" w:hAnsi="宋体"/>
          <w:sz w:val="36"/>
          <w:szCs w:val="36"/>
        </w:rPr>
      </w:pPr>
      <w:r>
        <w:rPr>
          <w:rFonts w:hint="eastAsia" w:ascii="黑体" w:hAnsi="宋体"/>
          <w:sz w:val="36"/>
          <w:szCs w:val="36"/>
        </w:rPr>
        <w:t>第四部分：其他要求</w:t>
      </w:r>
    </w:p>
    <w:p>
      <w:pPr>
        <w:pStyle w:val="2"/>
        <w:spacing w:line="540" w:lineRule="exact"/>
        <w:jc w:val="center"/>
        <w:rPr>
          <w:rFonts w:ascii="楷体" w:hAnsi="楷体" w:eastAsia="楷体"/>
          <w:sz w:val="36"/>
          <w:szCs w:val="36"/>
        </w:rPr>
      </w:pPr>
      <w:r>
        <w:rPr>
          <w:rFonts w:hint="eastAsia" w:ascii="楷体" w:hAnsi="楷体" w:eastAsia="楷体"/>
          <w:sz w:val="36"/>
          <w:szCs w:val="36"/>
        </w:rPr>
        <w:t>投标函</w:t>
      </w:r>
    </w:p>
    <w:p>
      <w:pPr>
        <w:spacing w:line="560" w:lineRule="exact"/>
        <w:rPr>
          <w:rFonts w:ascii="宋体" w:hAnsi="宋体"/>
          <w:sz w:val="24"/>
          <w:u w:val="single"/>
        </w:rPr>
      </w:pPr>
      <w:r>
        <w:rPr>
          <w:rFonts w:hint="eastAsia" w:ascii="楷体" w:hAnsi="楷体" w:eastAsia="楷体"/>
          <w:b/>
          <w:sz w:val="28"/>
          <w:szCs w:val="28"/>
          <w:u w:val="single"/>
        </w:rPr>
        <w:t>重庆盛普物资有限公司</w:t>
      </w:r>
      <w:r>
        <w:rPr>
          <w:rFonts w:hint="eastAsia" w:ascii="宋体" w:hAnsi="宋体"/>
          <w:sz w:val="24"/>
          <w:u w:val="single"/>
        </w:rPr>
        <w:t>：</w:t>
      </w:r>
    </w:p>
    <w:p>
      <w:pPr>
        <w:spacing w:line="560" w:lineRule="exact"/>
        <w:ind w:firstLine="480"/>
        <w:rPr>
          <w:rFonts w:ascii="楷体" w:hAnsi="楷体" w:eastAsia="楷体"/>
          <w:sz w:val="28"/>
          <w:szCs w:val="28"/>
        </w:rPr>
      </w:pPr>
      <w:r>
        <w:rPr>
          <w:rFonts w:hint="eastAsia" w:ascii="楷体" w:hAnsi="楷体" w:eastAsia="楷体"/>
          <w:sz w:val="28"/>
          <w:szCs w:val="28"/>
        </w:rPr>
        <w:t>1、我方已仔细研究了你方</w:t>
      </w:r>
      <w:r>
        <w:rPr>
          <w:rFonts w:ascii="楷体" w:hAnsi="楷体" w:eastAsia="楷体"/>
          <w:sz w:val="28"/>
          <w:szCs w:val="28"/>
          <w:u w:val="single"/>
        </w:rPr>
        <w:t>202</w:t>
      </w:r>
      <w:r>
        <w:rPr>
          <w:rFonts w:hint="eastAsia" w:ascii="楷体" w:hAnsi="楷体" w:eastAsia="楷体"/>
          <w:sz w:val="28"/>
          <w:szCs w:val="28"/>
          <w:u w:val="single"/>
          <w:lang w:val="en-US" w:eastAsia="zh-CN"/>
        </w:rPr>
        <w:t>1</w:t>
      </w:r>
      <w:r>
        <w:rPr>
          <w:rFonts w:ascii="楷体" w:hAnsi="楷体" w:eastAsia="楷体"/>
          <w:sz w:val="28"/>
          <w:szCs w:val="28"/>
          <w:u w:val="single"/>
        </w:rPr>
        <w:t>年</w:t>
      </w:r>
      <w:r>
        <w:rPr>
          <w:rFonts w:hint="eastAsia" w:ascii="楷体" w:hAnsi="楷体" w:eastAsia="楷体"/>
          <w:sz w:val="28"/>
          <w:szCs w:val="28"/>
          <w:u w:val="single"/>
        </w:rPr>
        <w:t>度</w:t>
      </w:r>
      <w:r>
        <w:rPr>
          <w:rFonts w:ascii="楷体" w:hAnsi="楷体" w:eastAsia="楷体"/>
          <w:sz w:val="28"/>
          <w:szCs w:val="28"/>
          <w:u w:val="single"/>
        </w:rPr>
        <w:t>电力直接交易（含政府基金附加和输配电）</w:t>
      </w:r>
      <w:r>
        <w:rPr>
          <w:rFonts w:hint="eastAsia" w:ascii="楷体" w:hAnsi="楷体" w:eastAsia="楷体"/>
          <w:sz w:val="28"/>
          <w:szCs w:val="28"/>
        </w:rPr>
        <w:t>（招标项目名称）招标文件的全部内容，并完全同意按照你方招标文件的要求参与投标。我方承诺在投标有效期内不修改、撤销投标文件。</w:t>
      </w:r>
    </w:p>
    <w:p>
      <w:pPr>
        <w:spacing w:line="600" w:lineRule="exact"/>
        <w:ind w:firstLine="480"/>
        <w:rPr>
          <w:rFonts w:ascii="楷体" w:hAnsi="楷体" w:eastAsia="楷体"/>
          <w:sz w:val="28"/>
          <w:szCs w:val="28"/>
        </w:rPr>
      </w:pPr>
      <w:r>
        <w:rPr>
          <w:rFonts w:hint="eastAsia" w:ascii="楷体" w:hAnsi="楷体" w:eastAsia="楷体"/>
          <w:sz w:val="28"/>
          <w:szCs w:val="28"/>
        </w:rPr>
        <w:t>2、如我方中标：</w:t>
      </w:r>
    </w:p>
    <w:p>
      <w:pPr>
        <w:spacing w:line="600" w:lineRule="exact"/>
        <w:ind w:firstLine="480"/>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1</w:t>
      </w:r>
      <w:r>
        <w:rPr>
          <w:rFonts w:hint="eastAsia" w:ascii="楷体" w:hAnsi="楷体" w:eastAsia="楷体"/>
          <w:sz w:val="28"/>
          <w:szCs w:val="28"/>
        </w:rPr>
        <w:t>）我方承诺在收到中标通知书后，在你方规定的5个工作日内与你方所属企业签订框架合同；</w:t>
      </w:r>
    </w:p>
    <w:p>
      <w:pPr>
        <w:spacing w:line="600" w:lineRule="exact"/>
        <w:ind w:firstLine="480"/>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2</w:t>
      </w:r>
      <w:r>
        <w:rPr>
          <w:rFonts w:hint="eastAsia" w:ascii="楷体" w:hAnsi="楷体" w:eastAsia="楷体"/>
          <w:sz w:val="28"/>
          <w:szCs w:val="28"/>
        </w:rPr>
        <w:t>）我方承诺在收到中标通知书后，如果放弃中标义务，你方有权向我方收取人民币壹拾万元的违约补偿金；</w:t>
      </w:r>
    </w:p>
    <w:p>
      <w:pPr>
        <w:spacing w:line="600" w:lineRule="exact"/>
        <w:ind w:firstLine="480"/>
        <w:rPr>
          <w:rFonts w:ascii="楷体" w:hAnsi="楷体" w:eastAsia="楷体"/>
          <w:sz w:val="28"/>
          <w:szCs w:val="28"/>
        </w:rPr>
      </w:pPr>
      <w:r>
        <w:rPr>
          <w:rFonts w:hint="eastAsia" w:ascii="楷体" w:hAnsi="楷体" w:eastAsia="楷体"/>
          <w:sz w:val="28"/>
          <w:szCs w:val="28"/>
        </w:rPr>
        <w:t>（</w:t>
      </w:r>
      <w:r>
        <w:rPr>
          <w:rFonts w:ascii="楷体" w:hAnsi="楷体" w:eastAsia="楷体"/>
          <w:sz w:val="28"/>
          <w:szCs w:val="28"/>
        </w:rPr>
        <w:t>3</w:t>
      </w:r>
      <w:r>
        <w:rPr>
          <w:rFonts w:hint="eastAsia" w:ascii="楷体" w:hAnsi="楷体" w:eastAsia="楷体"/>
          <w:sz w:val="28"/>
          <w:szCs w:val="28"/>
        </w:rPr>
        <w:t>）我方承诺无条件执行招标文件及合同约定的全部条款，你方有权向我方收取人民币壹拾万元的违约补偿金；</w:t>
      </w:r>
    </w:p>
    <w:p>
      <w:pPr>
        <w:spacing w:line="600" w:lineRule="exact"/>
        <w:ind w:firstLine="480"/>
        <w:rPr>
          <w:rFonts w:ascii="楷体" w:hAnsi="楷体" w:eastAsia="楷体"/>
          <w:sz w:val="28"/>
          <w:szCs w:val="28"/>
        </w:rPr>
      </w:pPr>
      <w:r>
        <w:rPr>
          <w:rFonts w:hint="eastAsia" w:ascii="楷体" w:hAnsi="楷体" w:eastAsia="楷体"/>
          <w:sz w:val="28"/>
          <w:szCs w:val="28"/>
        </w:rPr>
        <w:t>（4）我方将全面履行电力营销服务义务。</w:t>
      </w:r>
    </w:p>
    <w:p>
      <w:pPr>
        <w:spacing w:line="600" w:lineRule="exact"/>
        <w:ind w:firstLine="465"/>
        <w:rPr>
          <w:rFonts w:ascii="楷体" w:hAnsi="楷体" w:eastAsia="楷体"/>
          <w:sz w:val="28"/>
          <w:szCs w:val="28"/>
        </w:rPr>
      </w:pPr>
      <w:r>
        <w:rPr>
          <w:rFonts w:ascii="楷体" w:hAnsi="楷体" w:eastAsia="楷体"/>
          <w:sz w:val="28"/>
          <w:szCs w:val="28"/>
        </w:rPr>
        <w:t>4</w:t>
      </w:r>
      <w:r>
        <w:rPr>
          <w:rFonts w:hint="eastAsia" w:ascii="楷体" w:hAnsi="楷体" w:eastAsia="楷体"/>
          <w:sz w:val="28"/>
          <w:szCs w:val="28"/>
        </w:rPr>
        <w:t>、我方在此声明：所递交的投标文件及有关资料内容完整、真实准确，且不存在任何恶意竞标的行为。</w:t>
      </w:r>
    </w:p>
    <w:p>
      <w:pPr>
        <w:spacing w:line="600" w:lineRule="exact"/>
        <w:ind w:firstLine="465"/>
        <w:rPr>
          <w:rFonts w:ascii="楷体" w:hAnsi="楷体" w:eastAsia="楷体"/>
          <w:sz w:val="28"/>
          <w:szCs w:val="28"/>
        </w:rPr>
      </w:pPr>
      <w:r>
        <w:rPr>
          <w:rFonts w:ascii="楷体" w:hAnsi="楷体" w:eastAsia="楷体"/>
          <w:sz w:val="28"/>
          <w:szCs w:val="28"/>
        </w:rPr>
        <w:t>5</w:t>
      </w:r>
      <w:r>
        <w:rPr>
          <w:rFonts w:hint="eastAsia" w:ascii="楷体" w:hAnsi="楷体" w:eastAsia="楷体"/>
          <w:sz w:val="28"/>
          <w:szCs w:val="28"/>
        </w:rPr>
        <w:t>、本投标自开标之日起</w:t>
      </w:r>
      <w:r>
        <w:rPr>
          <w:rFonts w:hint="eastAsia" w:ascii="楷体" w:hAnsi="楷体" w:eastAsia="楷体"/>
          <w:sz w:val="28"/>
          <w:szCs w:val="28"/>
          <w:u w:val="single"/>
        </w:rPr>
        <w:t>90天</w:t>
      </w:r>
      <w:r>
        <w:rPr>
          <w:rFonts w:hint="eastAsia" w:ascii="楷体" w:hAnsi="楷体" w:eastAsia="楷体"/>
          <w:sz w:val="28"/>
          <w:szCs w:val="28"/>
        </w:rPr>
        <w:t>内有效。</w:t>
      </w:r>
    </w:p>
    <w:p>
      <w:pPr>
        <w:spacing w:line="600" w:lineRule="exact"/>
        <w:ind w:firstLine="465"/>
        <w:rPr>
          <w:rFonts w:ascii="楷体" w:hAnsi="楷体" w:eastAsia="楷体"/>
          <w:sz w:val="28"/>
          <w:szCs w:val="28"/>
        </w:rPr>
      </w:pPr>
      <w:r>
        <w:rPr>
          <w:rFonts w:hint="eastAsia" w:ascii="楷体" w:hAnsi="楷体" w:eastAsia="楷体"/>
          <w:sz w:val="28"/>
          <w:szCs w:val="28"/>
        </w:rPr>
        <w:t>6、（其他补充说明）。</w:t>
      </w:r>
    </w:p>
    <w:p>
      <w:pPr>
        <w:spacing w:line="640" w:lineRule="exact"/>
        <w:rPr>
          <w:rFonts w:ascii="楷体" w:hAnsi="楷体" w:eastAsia="楷体"/>
          <w:sz w:val="28"/>
          <w:szCs w:val="28"/>
        </w:rPr>
      </w:pPr>
    </w:p>
    <w:p>
      <w:pPr>
        <w:spacing w:line="640" w:lineRule="exact"/>
        <w:rPr>
          <w:rFonts w:ascii="楷体" w:hAnsi="楷体" w:eastAsia="楷体"/>
          <w:sz w:val="28"/>
          <w:szCs w:val="28"/>
        </w:rPr>
      </w:pPr>
    </w:p>
    <w:p>
      <w:pPr>
        <w:spacing w:line="640" w:lineRule="exact"/>
        <w:rPr>
          <w:rFonts w:ascii="楷体" w:hAnsi="楷体" w:eastAsia="楷体"/>
          <w:sz w:val="28"/>
          <w:szCs w:val="28"/>
        </w:rPr>
      </w:pPr>
    </w:p>
    <w:p>
      <w:pPr>
        <w:spacing w:line="640" w:lineRule="exact"/>
        <w:rPr>
          <w:rFonts w:ascii="楷体" w:hAnsi="楷体" w:eastAsia="楷体"/>
          <w:sz w:val="28"/>
          <w:szCs w:val="28"/>
        </w:rPr>
      </w:pPr>
    </w:p>
    <w:p>
      <w:pPr>
        <w:spacing w:line="640" w:lineRule="exact"/>
        <w:rPr>
          <w:rFonts w:ascii="楷体" w:hAnsi="楷体" w:eastAsia="楷体"/>
          <w:sz w:val="28"/>
          <w:szCs w:val="28"/>
        </w:rPr>
      </w:pPr>
    </w:p>
    <w:p>
      <w:pPr>
        <w:spacing w:line="640" w:lineRule="exact"/>
        <w:rPr>
          <w:rFonts w:ascii="楷体" w:hAnsi="楷体" w:eastAsia="楷体"/>
          <w:sz w:val="28"/>
          <w:szCs w:val="28"/>
        </w:rPr>
      </w:pPr>
      <w:r>
        <w:rPr>
          <w:rFonts w:hint="eastAsia" w:ascii="楷体" w:hAnsi="楷体" w:eastAsia="楷体"/>
          <w:sz w:val="28"/>
          <w:szCs w:val="28"/>
        </w:rPr>
        <w:t xml:space="preserve">投标人（盖公章）： </w:t>
      </w:r>
    </w:p>
    <w:p>
      <w:pPr>
        <w:spacing w:line="640" w:lineRule="exact"/>
        <w:rPr>
          <w:rFonts w:ascii="楷体" w:hAnsi="楷体" w:eastAsia="楷体"/>
          <w:sz w:val="28"/>
          <w:szCs w:val="28"/>
        </w:rPr>
      </w:pPr>
      <w:r>
        <w:rPr>
          <w:rFonts w:hint="eastAsia" w:ascii="楷体" w:hAnsi="楷体" w:eastAsia="楷体"/>
          <w:sz w:val="28"/>
          <w:szCs w:val="28"/>
        </w:rPr>
        <w:t>法定代表人或其委托代理人（签字）：</w:t>
      </w:r>
      <w:r>
        <w:rPr>
          <w:rFonts w:ascii="楷体" w:hAnsi="楷体" w:eastAsia="楷体"/>
          <w:sz w:val="28"/>
          <w:szCs w:val="28"/>
        </w:rPr>
        <w:t xml:space="preserve"> </w:t>
      </w:r>
    </w:p>
    <w:p>
      <w:pPr>
        <w:spacing w:line="640" w:lineRule="exact"/>
        <w:rPr>
          <w:rFonts w:ascii="楷体" w:hAnsi="楷体" w:eastAsia="楷体"/>
          <w:sz w:val="28"/>
          <w:szCs w:val="28"/>
        </w:rPr>
      </w:pPr>
      <w:r>
        <w:rPr>
          <w:rFonts w:hint="eastAsia" w:ascii="楷体" w:hAnsi="楷体" w:eastAsia="楷体"/>
          <w:sz w:val="28"/>
          <w:szCs w:val="28"/>
        </w:rPr>
        <w:t>地址：</w:t>
      </w:r>
    </w:p>
    <w:p>
      <w:pPr>
        <w:spacing w:line="640" w:lineRule="exact"/>
        <w:rPr>
          <w:rFonts w:ascii="楷体" w:hAnsi="楷体" w:eastAsia="楷体"/>
          <w:sz w:val="28"/>
          <w:szCs w:val="28"/>
          <w:u w:val="single"/>
        </w:rPr>
      </w:pPr>
      <w:r>
        <w:rPr>
          <w:rFonts w:hint="eastAsia" w:ascii="楷体" w:hAnsi="楷体" w:eastAsia="楷体"/>
          <w:sz w:val="28"/>
          <w:szCs w:val="28"/>
        </w:rPr>
        <w:t>网址：</w:t>
      </w:r>
    </w:p>
    <w:p>
      <w:pPr>
        <w:spacing w:line="640" w:lineRule="exact"/>
        <w:rPr>
          <w:rFonts w:ascii="楷体" w:hAnsi="楷体" w:eastAsia="楷体"/>
          <w:sz w:val="28"/>
          <w:szCs w:val="28"/>
        </w:rPr>
      </w:pPr>
      <w:r>
        <w:rPr>
          <w:rFonts w:hint="eastAsia" w:ascii="楷体" w:hAnsi="楷体" w:eastAsia="楷体"/>
          <w:sz w:val="28"/>
          <w:szCs w:val="28"/>
        </w:rPr>
        <w:t>电话：</w:t>
      </w:r>
    </w:p>
    <w:p>
      <w:pPr>
        <w:spacing w:line="640" w:lineRule="exact"/>
        <w:rPr>
          <w:rFonts w:ascii="楷体" w:hAnsi="楷体" w:eastAsia="楷体"/>
          <w:sz w:val="28"/>
          <w:szCs w:val="28"/>
        </w:rPr>
      </w:pPr>
      <w:r>
        <w:rPr>
          <w:rFonts w:hint="eastAsia" w:ascii="楷体" w:hAnsi="楷体" w:eastAsia="楷体"/>
          <w:sz w:val="28"/>
          <w:szCs w:val="28"/>
        </w:rPr>
        <w:t>传真：</w:t>
      </w:r>
    </w:p>
    <w:p>
      <w:pPr>
        <w:spacing w:line="640" w:lineRule="exact"/>
        <w:rPr>
          <w:rFonts w:ascii="楷体" w:hAnsi="楷体" w:eastAsia="楷体"/>
          <w:sz w:val="28"/>
          <w:szCs w:val="28"/>
        </w:rPr>
      </w:pPr>
      <w:r>
        <w:rPr>
          <w:rFonts w:hint="eastAsia" w:ascii="楷体" w:hAnsi="楷体" w:eastAsia="楷体"/>
          <w:sz w:val="28"/>
          <w:szCs w:val="28"/>
        </w:rPr>
        <w:t>邮政编码：</w:t>
      </w:r>
    </w:p>
    <w:p>
      <w:pPr>
        <w:spacing w:line="640" w:lineRule="exact"/>
        <w:rPr>
          <w:rFonts w:ascii="楷体" w:hAnsi="楷体" w:eastAsia="楷体"/>
          <w:sz w:val="28"/>
          <w:szCs w:val="28"/>
        </w:rPr>
      </w:pPr>
    </w:p>
    <w:p>
      <w:pPr>
        <w:spacing w:line="640" w:lineRule="exact"/>
        <w:rPr>
          <w:rFonts w:ascii="楷体" w:hAnsi="楷体" w:eastAsia="楷体"/>
          <w:sz w:val="28"/>
          <w:szCs w:val="28"/>
        </w:rPr>
      </w:pPr>
    </w:p>
    <w:p>
      <w:pPr>
        <w:spacing w:line="640" w:lineRule="exact"/>
        <w:ind w:firstLine="6204" w:firstLineChars="2216"/>
        <w:rPr>
          <w:rFonts w:ascii="楷体" w:hAnsi="楷体" w:eastAsia="楷体"/>
          <w:sz w:val="28"/>
          <w:szCs w:val="28"/>
        </w:rPr>
      </w:pPr>
      <w:r>
        <w:rPr>
          <w:rFonts w:hint="eastAsia" w:ascii="楷体" w:hAnsi="楷体" w:eastAsia="楷体"/>
          <w:sz w:val="28"/>
          <w:szCs w:val="28"/>
        </w:rPr>
        <w:t>年   月   日</w:t>
      </w:r>
    </w:p>
    <w:p>
      <w:pPr>
        <w:pStyle w:val="2"/>
        <w:spacing w:line="540" w:lineRule="exact"/>
        <w:rPr>
          <w:rFonts w:ascii="Times New Roman" w:hAnsi="Times New Roman" w:eastAsia="宋体"/>
          <w:b w:val="0"/>
          <w:bCs w:val="0"/>
          <w:kern w:val="2"/>
          <w:sz w:val="21"/>
          <w:szCs w:val="24"/>
        </w:rPr>
      </w:pPr>
    </w:p>
    <w:p/>
    <w:p/>
    <w:p/>
    <w:p/>
    <w:p/>
    <w:p/>
    <w:p/>
    <w:p/>
    <w:p/>
    <w:p/>
    <w:p/>
    <w:p/>
    <w:p/>
    <w:p/>
    <w:p/>
    <w:p>
      <w:pPr>
        <w:spacing w:line="580" w:lineRule="exact"/>
        <w:jc w:val="center"/>
        <w:rPr>
          <w:rFonts w:ascii="黑体" w:hAnsi="宋体" w:eastAsia="黑体"/>
          <w:b/>
          <w:sz w:val="28"/>
          <w:szCs w:val="28"/>
        </w:rPr>
      </w:pPr>
      <w:r>
        <w:rPr>
          <w:rFonts w:hint="eastAsia" w:ascii="黑体" w:hAnsi="宋体" w:eastAsia="黑体"/>
          <w:b/>
          <w:sz w:val="28"/>
          <w:szCs w:val="28"/>
        </w:rPr>
        <w:t>法定代表人身份证明</w:t>
      </w:r>
    </w:p>
    <w:p>
      <w:pPr>
        <w:spacing w:line="580" w:lineRule="exact"/>
        <w:ind w:firstLine="465"/>
        <w:rPr>
          <w:rFonts w:ascii="宋体" w:hAnsi="宋体"/>
          <w:sz w:val="24"/>
        </w:rPr>
      </w:pPr>
    </w:p>
    <w:p>
      <w:pPr>
        <w:spacing w:line="700" w:lineRule="exact"/>
        <w:ind w:firstLine="465"/>
        <w:rPr>
          <w:rFonts w:ascii="宋体" w:hAnsi="宋体"/>
          <w:sz w:val="24"/>
        </w:rPr>
      </w:pPr>
      <w:r>
        <w:rPr>
          <w:rFonts w:hint="eastAsia" w:ascii="宋体" w:hAnsi="宋体"/>
          <w:sz w:val="24"/>
        </w:rPr>
        <w:t>投标人名称：</w:t>
      </w:r>
    </w:p>
    <w:p>
      <w:pPr>
        <w:spacing w:line="700" w:lineRule="exact"/>
        <w:ind w:firstLine="465"/>
        <w:rPr>
          <w:rFonts w:ascii="宋体" w:hAnsi="宋体"/>
          <w:sz w:val="24"/>
          <w:u w:val="single"/>
        </w:rPr>
      </w:pPr>
      <w:r>
        <w:rPr>
          <w:rFonts w:hint="eastAsia" w:ascii="宋体" w:hAnsi="宋体"/>
          <w:sz w:val="24"/>
        </w:rPr>
        <w:t>投标单位性质：</w:t>
      </w:r>
    </w:p>
    <w:p>
      <w:pPr>
        <w:spacing w:line="700" w:lineRule="exact"/>
        <w:ind w:firstLine="465"/>
        <w:rPr>
          <w:rFonts w:ascii="宋体" w:hAnsi="宋体"/>
          <w:sz w:val="24"/>
        </w:rPr>
      </w:pPr>
      <w:r>
        <w:rPr>
          <w:rFonts w:hint="eastAsia" w:ascii="宋体" w:hAnsi="宋体"/>
          <w:sz w:val="24"/>
        </w:rPr>
        <w:t>投标单位地址：</w:t>
      </w:r>
    </w:p>
    <w:p>
      <w:pPr>
        <w:spacing w:line="700" w:lineRule="exact"/>
        <w:ind w:firstLine="465"/>
        <w:rPr>
          <w:rFonts w:ascii="宋体" w:hAnsi="宋体"/>
          <w:sz w:val="24"/>
        </w:rPr>
      </w:pPr>
      <w:r>
        <w:rPr>
          <w:rFonts w:hint="eastAsia" w:ascii="宋体" w:hAnsi="宋体"/>
          <w:sz w:val="24"/>
        </w:rPr>
        <w:t>成立时间：   年   月   日</w:t>
      </w:r>
    </w:p>
    <w:p>
      <w:pPr>
        <w:spacing w:line="700" w:lineRule="exact"/>
        <w:ind w:firstLine="465"/>
        <w:rPr>
          <w:rFonts w:ascii="宋体" w:hAnsi="宋体"/>
          <w:sz w:val="24"/>
          <w:u w:val="single"/>
        </w:rPr>
      </w:pPr>
      <w:r>
        <w:rPr>
          <w:rFonts w:hint="eastAsia" w:ascii="宋体" w:hAnsi="宋体"/>
          <w:sz w:val="24"/>
        </w:rPr>
        <w:t>经营期限：</w:t>
      </w:r>
    </w:p>
    <w:p>
      <w:pPr>
        <w:spacing w:line="700" w:lineRule="exact"/>
        <w:ind w:firstLine="465"/>
        <w:rPr>
          <w:rFonts w:ascii="宋体" w:hAnsi="宋体"/>
          <w:sz w:val="24"/>
          <w:u w:val="single"/>
        </w:rPr>
      </w:pPr>
      <w:r>
        <w:rPr>
          <w:rFonts w:hint="eastAsia" w:ascii="宋体" w:hAnsi="宋体"/>
          <w:sz w:val="24"/>
        </w:rPr>
        <w:t>姓名：        性别：      年龄：    职务：</w:t>
      </w:r>
    </w:p>
    <w:p>
      <w:pPr>
        <w:spacing w:line="700" w:lineRule="exact"/>
        <w:ind w:firstLine="465"/>
        <w:rPr>
          <w:rFonts w:ascii="宋体" w:hAnsi="宋体"/>
          <w:sz w:val="24"/>
        </w:rPr>
      </w:pPr>
      <w:r>
        <w:rPr>
          <w:rFonts w:hint="eastAsia" w:ascii="宋体" w:hAnsi="宋体"/>
          <w:sz w:val="24"/>
        </w:rPr>
        <w:t>身份证号码：</w:t>
      </w:r>
    </w:p>
    <w:p>
      <w:pPr>
        <w:spacing w:line="700" w:lineRule="exact"/>
        <w:ind w:firstLine="465"/>
        <w:rPr>
          <w:rFonts w:ascii="宋体" w:hAnsi="宋体"/>
          <w:sz w:val="24"/>
        </w:rPr>
      </w:pPr>
      <w:r>
        <w:rPr>
          <w:rFonts w:hint="eastAsia" w:ascii="宋体" w:hAnsi="宋体"/>
          <w:sz w:val="24"/>
        </w:rPr>
        <w:t>系（投标人名称）的法定代表人。</w:t>
      </w:r>
    </w:p>
    <w:p>
      <w:pPr>
        <w:spacing w:line="700" w:lineRule="exact"/>
        <w:ind w:firstLine="465"/>
        <w:rPr>
          <w:rFonts w:ascii="宋体" w:hAnsi="宋体"/>
          <w:sz w:val="24"/>
        </w:rPr>
      </w:pPr>
      <w:r>
        <w:rPr>
          <w:rFonts w:hint="eastAsia" w:ascii="宋体" w:hAnsi="宋体"/>
          <w:sz w:val="24"/>
        </w:rPr>
        <w:t xml:space="preserve">    特此证明</w:t>
      </w:r>
    </w:p>
    <w:p>
      <w:pPr>
        <w:spacing w:line="580" w:lineRule="exact"/>
        <w:ind w:firstLine="465"/>
        <w:rPr>
          <w:rFonts w:ascii="宋体" w:hAnsi="宋体"/>
          <w:sz w:val="24"/>
        </w:rPr>
      </w:pPr>
    </w:p>
    <w:p>
      <w:pPr>
        <w:spacing w:line="580" w:lineRule="exact"/>
        <w:ind w:firstLine="465"/>
        <w:rPr>
          <w:rFonts w:ascii="宋体" w:hAnsi="宋体"/>
          <w:sz w:val="24"/>
        </w:rPr>
      </w:pPr>
    </w:p>
    <w:p>
      <w:pPr>
        <w:spacing w:line="580" w:lineRule="exact"/>
        <w:ind w:firstLine="465"/>
        <w:rPr>
          <w:rFonts w:ascii="宋体" w:hAnsi="宋体"/>
          <w:sz w:val="24"/>
        </w:rPr>
      </w:pPr>
    </w:p>
    <w:p>
      <w:pPr>
        <w:spacing w:line="580" w:lineRule="exact"/>
        <w:ind w:firstLine="465"/>
        <w:rPr>
          <w:rFonts w:ascii="宋体" w:hAnsi="宋体"/>
          <w:sz w:val="24"/>
        </w:rPr>
      </w:pPr>
      <w:r>
        <w:rPr>
          <w:rFonts w:hint="eastAsia" w:ascii="宋体" w:hAnsi="宋体"/>
          <w:sz w:val="24"/>
        </w:rPr>
        <w:t xml:space="preserve">                投标人： （盖公章）</w:t>
      </w:r>
    </w:p>
    <w:p>
      <w:pPr>
        <w:spacing w:line="580" w:lineRule="exact"/>
        <w:ind w:firstLine="465"/>
        <w:rPr>
          <w:rFonts w:ascii="宋体" w:hAnsi="宋体"/>
          <w:sz w:val="24"/>
        </w:rPr>
      </w:pPr>
    </w:p>
    <w:p>
      <w:pPr>
        <w:wordWrap w:val="0"/>
        <w:spacing w:line="560" w:lineRule="exact"/>
        <w:ind w:right="360" w:firstLine="465"/>
        <w:jc w:val="right"/>
        <w:rPr>
          <w:rFonts w:ascii="宋体" w:hAnsi="宋体"/>
          <w:sz w:val="24"/>
        </w:rPr>
      </w:pPr>
      <w:r>
        <w:rPr>
          <w:rFonts w:hint="eastAsia" w:ascii="宋体" w:hAnsi="宋体"/>
          <w:sz w:val="24"/>
        </w:rPr>
        <w:t>年   月   日</w:t>
      </w:r>
    </w:p>
    <w:p>
      <w:pPr>
        <w:spacing w:line="580" w:lineRule="exact"/>
        <w:ind w:firstLine="465"/>
        <w:rPr>
          <w:rFonts w:ascii="宋体" w:hAnsi="宋体"/>
          <w:sz w:val="24"/>
        </w:rPr>
      </w:pPr>
    </w:p>
    <w:p>
      <w:pPr>
        <w:spacing w:line="580" w:lineRule="exact"/>
        <w:rPr>
          <w:rFonts w:ascii="宋体" w:hAnsi="宋体"/>
          <w:sz w:val="24"/>
        </w:rPr>
      </w:pPr>
    </w:p>
    <w:p>
      <w:pPr>
        <w:spacing w:line="580" w:lineRule="exact"/>
        <w:ind w:firstLine="465"/>
        <w:rPr>
          <w:rFonts w:ascii="宋体" w:hAnsi="宋体"/>
          <w:sz w:val="24"/>
        </w:rPr>
      </w:pPr>
    </w:p>
    <w:p>
      <w:pPr>
        <w:spacing w:line="580" w:lineRule="exact"/>
        <w:rPr>
          <w:rFonts w:ascii="黑体" w:hAnsi="宋体" w:eastAsia="黑体"/>
          <w:b/>
          <w:sz w:val="28"/>
          <w:szCs w:val="28"/>
        </w:rPr>
      </w:pPr>
    </w:p>
    <w:p>
      <w:pPr>
        <w:spacing w:line="580" w:lineRule="exact"/>
        <w:rPr>
          <w:rFonts w:ascii="黑体" w:hAnsi="宋体" w:eastAsia="黑体"/>
          <w:b/>
          <w:sz w:val="28"/>
          <w:szCs w:val="28"/>
        </w:rPr>
      </w:pPr>
    </w:p>
    <w:p>
      <w:pPr>
        <w:spacing w:line="580" w:lineRule="exact"/>
        <w:jc w:val="center"/>
        <w:rPr>
          <w:rFonts w:ascii="黑体" w:hAnsi="宋体" w:eastAsia="黑体"/>
          <w:b/>
          <w:sz w:val="28"/>
          <w:szCs w:val="28"/>
        </w:rPr>
      </w:pPr>
      <w:r>
        <w:rPr>
          <w:rFonts w:hint="eastAsia" w:ascii="黑体" w:hAnsi="宋体" w:eastAsia="黑体"/>
          <w:b/>
          <w:sz w:val="28"/>
          <w:szCs w:val="28"/>
        </w:rPr>
        <w:t>法定代表人授权委托书</w:t>
      </w:r>
    </w:p>
    <w:p>
      <w:pPr>
        <w:spacing w:line="700" w:lineRule="exact"/>
        <w:ind w:firstLine="465"/>
        <w:rPr>
          <w:rFonts w:ascii="宋体" w:hAnsi="宋体"/>
          <w:sz w:val="24"/>
        </w:rPr>
      </w:pPr>
    </w:p>
    <w:p>
      <w:pPr>
        <w:spacing w:line="700" w:lineRule="exact"/>
        <w:ind w:firstLine="465"/>
        <w:rPr>
          <w:rFonts w:ascii="宋体" w:hAnsi="宋体"/>
          <w:sz w:val="24"/>
        </w:rPr>
      </w:pPr>
      <w:r>
        <w:rPr>
          <w:rFonts w:hint="eastAsia" w:ascii="宋体" w:hAnsi="宋体"/>
          <w:sz w:val="24"/>
        </w:rPr>
        <w:t xml:space="preserve">    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（投标人名称）的法定代表人，现委托</w:t>
      </w:r>
      <w:r>
        <w:rPr>
          <w:rFonts w:hint="eastAsia" w:ascii="宋体" w:hAnsi="宋体"/>
          <w:sz w:val="24"/>
          <w:u w:val="single"/>
        </w:rPr>
        <w:t xml:space="preserve">      </w:t>
      </w:r>
      <w:r>
        <w:rPr>
          <w:rFonts w:hint="eastAsia" w:ascii="宋体" w:hAnsi="宋体"/>
          <w:sz w:val="24"/>
        </w:rPr>
        <w:t>（姓名）为我方代理人。代理人根据授权，以我方名义签署、澄清、说明、补正、递交、撤回、修改</w:t>
      </w:r>
      <w:r>
        <w:rPr>
          <w:rFonts w:hint="eastAsia" w:ascii="宋体" w:hAnsi="宋体"/>
          <w:b/>
          <w:sz w:val="24"/>
          <w:u w:val="single"/>
        </w:rPr>
        <w:t>重庆机电控股（集团）公司</w:t>
      </w:r>
      <w:r>
        <w:rPr>
          <w:rFonts w:asciiTheme="minorEastAsia" w:hAnsiTheme="minorEastAsia" w:eastAsiaTheme="minorEastAsia"/>
          <w:b/>
          <w:sz w:val="24"/>
          <w:u w:val="single"/>
        </w:rPr>
        <w:t>202</w:t>
      </w:r>
      <w:r>
        <w:rPr>
          <w:rFonts w:hint="eastAsia" w:asciiTheme="minorEastAsia" w:hAnsiTheme="minorEastAsia" w:eastAsiaTheme="minorEastAsia"/>
          <w:b/>
          <w:sz w:val="24"/>
          <w:u w:val="single"/>
          <w:lang w:val="en-US" w:eastAsia="zh-CN"/>
        </w:rPr>
        <w:t>1</w:t>
      </w:r>
      <w:r>
        <w:rPr>
          <w:rFonts w:asciiTheme="minorEastAsia" w:hAnsiTheme="minorEastAsia" w:eastAsiaTheme="minorEastAsia"/>
          <w:b/>
          <w:sz w:val="24"/>
          <w:u w:val="single"/>
        </w:rPr>
        <w:t>年</w:t>
      </w:r>
      <w:r>
        <w:rPr>
          <w:rFonts w:hint="eastAsia" w:asciiTheme="minorEastAsia" w:hAnsiTheme="minorEastAsia" w:eastAsiaTheme="minorEastAsia"/>
          <w:b/>
          <w:sz w:val="24"/>
          <w:u w:val="single"/>
        </w:rPr>
        <w:t>度</w:t>
      </w:r>
      <w:r>
        <w:rPr>
          <w:rFonts w:asciiTheme="minorEastAsia" w:hAnsiTheme="minorEastAsia" w:eastAsiaTheme="minorEastAsia"/>
          <w:b/>
          <w:sz w:val="24"/>
          <w:u w:val="single"/>
        </w:rPr>
        <w:t>电力直接交易（含政府基金附加和输配电）</w:t>
      </w:r>
      <w:r>
        <w:rPr>
          <w:rFonts w:hint="eastAsia" w:ascii="宋体" w:hAnsi="宋体"/>
          <w:sz w:val="24"/>
        </w:rPr>
        <w:t>（项目名称）投标文件、签订合同和处理相关事宜，由此产生的一切法律及经济后果均由我方承担。</w:t>
      </w:r>
    </w:p>
    <w:p>
      <w:pPr>
        <w:spacing w:line="700" w:lineRule="exact"/>
        <w:ind w:firstLine="465"/>
        <w:rPr>
          <w:rFonts w:ascii="宋体" w:hAnsi="宋体"/>
          <w:sz w:val="24"/>
        </w:rPr>
      </w:pPr>
      <w:r>
        <w:rPr>
          <w:rFonts w:hint="eastAsia" w:ascii="宋体" w:hAnsi="宋体"/>
          <w:sz w:val="24"/>
        </w:rPr>
        <w:t>委托期限：</w:t>
      </w:r>
      <w:r>
        <w:rPr>
          <w:rFonts w:hint="eastAsia" w:ascii="宋体" w:hAnsi="宋体"/>
          <w:color w:val="000000" w:themeColor="text1"/>
          <w:sz w:val="24"/>
          <w:u w:val="single"/>
          <w:lang w:val="en-US" w:eastAsia="zh-CN"/>
          <w14:textFill>
            <w14:solidFill>
              <w14:schemeClr w14:val="tx1"/>
            </w14:solidFill>
          </w14:textFill>
        </w:rPr>
        <w:t>2020</w:t>
      </w:r>
      <w:r>
        <w:rPr>
          <w:rFonts w:hint="eastAsia" w:ascii="宋体" w:hAnsi="宋体"/>
          <w:color w:val="000000" w:themeColor="text1"/>
          <w:sz w:val="24"/>
          <w:lang w:val="en-US" w:eastAsia="zh-CN"/>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11</w:t>
      </w:r>
      <w:r>
        <w:rPr>
          <w:rFonts w:hint="eastAsia" w:ascii="宋体" w:hAnsi="宋体"/>
          <w:color w:val="000000" w:themeColor="text1"/>
          <w:sz w:val="24"/>
          <w:lang w:val="en-US" w:eastAsia="zh-CN"/>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01</w:t>
      </w:r>
      <w:r>
        <w:rPr>
          <w:rFonts w:hint="eastAsia" w:ascii="宋体" w:hAnsi="宋体"/>
          <w:color w:val="000000" w:themeColor="text1"/>
          <w:sz w:val="24"/>
          <w:lang w:val="en-US" w:eastAsia="zh-CN"/>
          <w14:textFill>
            <w14:solidFill>
              <w14:schemeClr w14:val="tx1"/>
            </w14:solidFill>
          </w14:textFill>
        </w:rPr>
        <w:t>日至</w:t>
      </w:r>
      <w:r>
        <w:rPr>
          <w:rFonts w:hint="eastAsia" w:ascii="宋体" w:hAnsi="宋体"/>
          <w:color w:val="000000" w:themeColor="text1"/>
          <w:sz w:val="24"/>
          <w:u w:val="single"/>
          <w:lang w:val="en-US" w:eastAsia="zh-CN"/>
          <w14:textFill>
            <w14:solidFill>
              <w14:schemeClr w14:val="tx1"/>
            </w14:solidFill>
          </w14:textFill>
        </w:rPr>
        <w:t>2021</w:t>
      </w:r>
      <w:r>
        <w:rPr>
          <w:rFonts w:hint="eastAsia" w:ascii="宋体" w:hAnsi="宋体"/>
          <w:color w:val="000000" w:themeColor="text1"/>
          <w:sz w:val="24"/>
          <w:lang w:val="en-US" w:eastAsia="zh-CN"/>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12</w:t>
      </w:r>
      <w:r>
        <w:rPr>
          <w:rFonts w:hint="eastAsia" w:ascii="宋体" w:hAnsi="宋体"/>
          <w:color w:val="000000" w:themeColor="text1"/>
          <w:sz w:val="24"/>
          <w:lang w:val="en-US" w:eastAsia="zh-CN"/>
          <w14:textFill>
            <w14:solidFill>
              <w14:schemeClr w14:val="tx1"/>
            </w14:solidFill>
          </w14:textFill>
        </w:rPr>
        <w:t>月</w:t>
      </w:r>
      <w:r>
        <w:rPr>
          <w:rFonts w:hint="eastAsia" w:ascii="宋体" w:hAnsi="宋体"/>
          <w:color w:val="000000" w:themeColor="text1"/>
          <w:sz w:val="24"/>
          <w:u w:val="single"/>
          <w:lang w:val="en-US" w:eastAsia="zh-CN"/>
          <w14:textFill>
            <w14:solidFill>
              <w14:schemeClr w14:val="tx1"/>
            </w14:solidFill>
          </w14:textFill>
        </w:rPr>
        <w:t>31</w:t>
      </w:r>
      <w:r>
        <w:rPr>
          <w:rFonts w:hint="eastAsia" w:ascii="宋体" w:hAnsi="宋体"/>
          <w:color w:val="000000" w:themeColor="text1"/>
          <w:sz w:val="24"/>
          <w:lang w:val="en-US" w:eastAsia="zh-CN"/>
          <w14:textFill>
            <w14:solidFill>
              <w14:schemeClr w14:val="tx1"/>
            </w14:solidFill>
          </w14:textFill>
        </w:rPr>
        <w:t>日止。</w:t>
      </w:r>
      <w:r>
        <w:rPr>
          <w:rFonts w:hint="eastAsia" w:ascii="宋体" w:hAnsi="宋体"/>
          <w:sz w:val="24"/>
        </w:rPr>
        <w:t xml:space="preserve">                       </w:t>
      </w:r>
    </w:p>
    <w:p>
      <w:pPr>
        <w:spacing w:line="700" w:lineRule="exact"/>
        <w:ind w:firstLine="465"/>
        <w:rPr>
          <w:rFonts w:ascii="宋体" w:hAnsi="宋体"/>
          <w:sz w:val="24"/>
        </w:rPr>
      </w:pPr>
    </w:p>
    <w:p>
      <w:pPr>
        <w:spacing w:line="700" w:lineRule="exact"/>
        <w:ind w:firstLine="465"/>
        <w:rPr>
          <w:rFonts w:ascii="宋体" w:hAnsi="宋体"/>
          <w:sz w:val="24"/>
        </w:rPr>
      </w:pPr>
    </w:p>
    <w:p>
      <w:pPr>
        <w:spacing w:line="700" w:lineRule="exact"/>
        <w:ind w:firstLine="465"/>
        <w:rPr>
          <w:rFonts w:ascii="宋体" w:hAnsi="宋体"/>
          <w:sz w:val="24"/>
        </w:rPr>
      </w:pPr>
    </w:p>
    <w:p>
      <w:pPr>
        <w:spacing w:line="700" w:lineRule="exact"/>
        <w:ind w:firstLine="465"/>
        <w:rPr>
          <w:rFonts w:ascii="宋体" w:hAnsi="宋体"/>
          <w:sz w:val="24"/>
        </w:rPr>
      </w:pPr>
      <w:r>
        <w:rPr>
          <w:rFonts w:hint="eastAsia" w:ascii="宋体" w:hAnsi="宋体"/>
          <w:sz w:val="24"/>
        </w:rPr>
        <w:t xml:space="preserve">            投  标  人（盖公章）： </w:t>
      </w:r>
    </w:p>
    <w:p>
      <w:pPr>
        <w:spacing w:line="700" w:lineRule="exact"/>
        <w:ind w:firstLine="465"/>
        <w:rPr>
          <w:rFonts w:ascii="宋体" w:hAnsi="宋体"/>
          <w:sz w:val="24"/>
        </w:rPr>
      </w:pPr>
      <w:r>
        <w:rPr>
          <w:rFonts w:hint="eastAsia" w:ascii="宋体" w:hAnsi="宋体"/>
          <w:sz w:val="24"/>
        </w:rPr>
        <w:t xml:space="preserve">            法定代表人（签字）：</w:t>
      </w:r>
      <w:r>
        <w:rPr>
          <w:rFonts w:ascii="宋体" w:hAnsi="宋体"/>
          <w:sz w:val="24"/>
        </w:rPr>
        <w:t xml:space="preserve"> </w:t>
      </w:r>
    </w:p>
    <w:p>
      <w:pPr>
        <w:spacing w:line="700" w:lineRule="exact"/>
        <w:ind w:firstLine="465"/>
        <w:rPr>
          <w:rFonts w:ascii="宋体" w:hAnsi="宋体"/>
          <w:sz w:val="24"/>
          <w:u w:val="single"/>
        </w:rPr>
      </w:pPr>
      <w:r>
        <w:rPr>
          <w:rFonts w:hint="eastAsia" w:ascii="宋体" w:hAnsi="宋体"/>
          <w:sz w:val="24"/>
        </w:rPr>
        <w:t xml:space="preserve">            身份证号码：</w:t>
      </w:r>
    </w:p>
    <w:p>
      <w:pPr>
        <w:spacing w:line="700" w:lineRule="exact"/>
        <w:ind w:firstLine="465"/>
        <w:rPr>
          <w:rFonts w:ascii="宋体" w:hAnsi="宋体"/>
          <w:sz w:val="24"/>
        </w:rPr>
      </w:pPr>
      <w:r>
        <w:rPr>
          <w:rFonts w:hint="eastAsia" w:ascii="宋体" w:hAnsi="宋体"/>
          <w:sz w:val="24"/>
        </w:rPr>
        <w:t xml:space="preserve">            委托代理人（签字）：  </w:t>
      </w:r>
    </w:p>
    <w:p>
      <w:pPr>
        <w:spacing w:line="700" w:lineRule="exact"/>
        <w:ind w:firstLine="465"/>
        <w:rPr>
          <w:rFonts w:ascii="宋体" w:hAnsi="宋体"/>
          <w:sz w:val="24"/>
        </w:rPr>
      </w:pPr>
      <w:r>
        <w:rPr>
          <w:rFonts w:hint="eastAsia" w:ascii="宋体" w:hAnsi="宋体"/>
          <w:sz w:val="24"/>
        </w:rPr>
        <w:t xml:space="preserve">            身份证号码：</w:t>
      </w:r>
    </w:p>
    <w:p>
      <w:pPr>
        <w:spacing w:line="700" w:lineRule="exact"/>
        <w:ind w:firstLine="465"/>
        <w:rPr>
          <w:rFonts w:ascii="宋体" w:hAnsi="宋体"/>
          <w:sz w:val="24"/>
        </w:rPr>
      </w:pPr>
    </w:p>
    <w:p>
      <w:pPr>
        <w:spacing w:line="700" w:lineRule="exact"/>
        <w:ind w:firstLine="465"/>
        <w:rPr>
          <w:rFonts w:ascii="宋体" w:hAnsi="宋体"/>
          <w:sz w:val="24"/>
        </w:rPr>
      </w:pPr>
    </w:p>
    <w:p>
      <w:pPr>
        <w:spacing w:line="700" w:lineRule="exact"/>
        <w:ind w:firstLine="465"/>
        <w:rPr>
          <w:rFonts w:ascii="宋体" w:hAnsi="宋体"/>
          <w:sz w:val="24"/>
        </w:rPr>
      </w:pPr>
    </w:p>
    <w:p>
      <w:pPr>
        <w:widowControl/>
        <w:kinsoku w:val="0"/>
        <w:overflowPunct w:val="0"/>
        <w:spacing w:before="50" w:line="500" w:lineRule="exact"/>
        <w:ind w:left="1"/>
        <w:jc w:val="center"/>
        <w:rPr>
          <w:rFonts w:ascii="黑体" w:hAnsi="黑体" w:eastAsia="黑体"/>
          <w:sz w:val="44"/>
          <w:szCs w:val="44"/>
        </w:rPr>
      </w:pPr>
    </w:p>
    <w:p>
      <w:pPr>
        <w:widowControl/>
        <w:kinsoku w:val="0"/>
        <w:overflowPunct w:val="0"/>
        <w:spacing w:before="50" w:line="500" w:lineRule="exact"/>
        <w:ind w:left="1"/>
        <w:jc w:val="center"/>
        <w:rPr>
          <w:rFonts w:ascii="黑体" w:hAnsi="黑体" w:eastAsia="黑体"/>
          <w:sz w:val="44"/>
          <w:szCs w:val="44"/>
        </w:rPr>
      </w:pPr>
      <w:r>
        <w:rPr>
          <w:rFonts w:hint="eastAsia" w:ascii="黑体" w:hAnsi="黑体" w:eastAsia="黑体"/>
          <w:sz w:val="44"/>
          <w:szCs w:val="44"/>
        </w:rPr>
        <w:t>可提供增值服务证明</w:t>
      </w:r>
    </w:p>
    <w:p>
      <w:pPr>
        <w:pStyle w:val="4"/>
        <w:spacing w:line="500" w:lineRule="exact"/>
        <w:rPr>
          <w:rFonts w:ascii="楷体" w:hAnsi="楷体" w:eastAsia="楷体"/>
          <w:b/>
          <w:szCs w:val="28"/>
        </w:rPr>
      </w:pPr>
    </w:p>
    <w:p>
      <w:pPr>
        <w:pStyle w:val="4"/>
        <w:spacing w:line="500" w:lineRule="exact"/>
        <w:rPr>
          <w:rFonts w:ascii="楷体" w:hAnsi="楷体" w:eastAsia="楷体"/>
          <w:szCs w:val="28"/>
        </w:rPr>
      </w:pPr>
      <w:r>
        <w:rPr>
          <w:rFonts w:hint="eastAsia" w:ascii="楷体" w:hAnsi="楷体" w:eastAsia="楷体"/>
          <w:szCs w:val="28"/>
        </w:rPr>
        <w:t>（内容自定。如有第三方服务，要求提供第三方资格证明，并提供投标人与第三方相关签订的相关意向书。）</w:t>
      </w:r>
    </w:p>
    <w:p>
      <w:pPr>
        <w:pStyle w:val="2"/>
        <w:spacing w:line="540" w:lineRule="exact"/>
        <w:rPr>
          <w:rFonts w:ascii="楷体" w:hAnsi="楷体" w:eastAsia="楷体"/>
          <w:b w:val="0"/>
          <w:sz w:val="28"/>
          <w:szCs w:val="28"/>
        </w:rPr>
      </w:pPr>
    </w:p>
    <w:p/>
    <w:p/>
    <w:p/>
    <w:p/>
    <w:p/>
    <w:p/>
    <w:p/>
    <w:p/>
    <w:p/>
    <w:p/>
    <w:p/>
    <w:p/>
    <w:p/>
    <w:p/>
    <w:p/>
    <w:p/>
    <w:p/>
    <w:p/>
    <w:p/>
    <w:p/>
    <w:p/>
    <w:p/>
    <w:p/>
    <w:p/>
    <w:p/>
    <w:p/>
    <w:p/>
    <w:p/>
    <w:p/>
    <w:p/>
    <w:p/>
    <w:p/>
    <w:p/>
    <w:p/>
    <w:p/>
    <w:p>
      <w:pPr>
        <w:widowControl/>
        <w:kinsoku w:val="0"/>
        <w:overflowPunct w:val="0"/>
        <w:spacing w:before="50" w:line="500" w:lineRule="exact"/>
        <w:ind w:left="1"/>
        <w:jc w:val="center"/>
        <w:rPr>
          <w:rFonts w:ascii="黑体" w:hAnsi="黑体" w:eastAsia="黑体"/>
          <w:sz w:val="44"/>
          <w:szCs w:val="44"/>
        </w:rPr>
      </w:pPr>
      <w:r>
        <w:rPr>
          <w:rFonts w:ascii="黑体" w:hAnsi="黑体" w:eastAsia="黑体"/>
          <w:sz w:val="44"/>
          <w:szCs w:val="44"/>
        </w:rPr>
        <w:t>投标报价表</w:t>
      </w:r>
    </w:p>
    <w:p>
      <w:pPr>
        <w:widowControl/>
        <w:tabs>
          <w:tab w:val="left" w:pos="1188"/>
        </w:tabs>
        <w:kinsoku w:val="0"/>
        <w:overflowPunct w:val="0"/>
        <w:spacing w:before="131" w:line="500" w:lineRule="exact"/>
        <w:ind w:right="440"/>
        <w:jc w:val="left"/>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表一：                        报价单位：人民币元/kw.h（含13%</w:t>
      </w:r>
      <w:r>
        <w:rPr>
          <w:rFonts w:hint="eastAsia" w:cs="宋体" w:asciiTheme="minorEastAsia" w:hAnsiTheme="minorEastAsia" w:eastAsiaTheme="minorEastAsia"/>
          <w:color w:val="000000"/>
          <w:sz w:val="22"/>
          <w:szCs w:val="22"/>
          <w:lang w:val="en-US" w:eastAsia="zh-CN"/>
        </w:rPr>
        <w:t>全额</w:t>
      </w:r>
      <w:r>
        <w:rPr>
          <w:rFonts w:hint="eastAsia" w:cs="宋体" w:asciiTheme="minorEastAsia" w:hAnsiTheme="minorEastAsia" w:eastAsiaTheme="minorEastAsia"/>
          <w:color w:val="000000"/>
          <w:sz w:val="22"/>
          <w:szCs w:val="22"/>
        </w:rPr>
        <w:t>增值税）</w:t>
      </w:r>
    </w:p>
    <w:tbl>
      <w:tblPr>
        <w:tblStyle w:val="9"/>
        <w:tblW w:w="84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03"/>
        <w:gridCol w:w="1147"/>
        <w:gridCol w:w="1147"/>
        <w:gridCol w:w="1148"/>
        <w:gridCol w:w="1234"/>
        <w:gridCol w:w="1000"/>
        <w:gridCol w:w="11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03"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电压</w:t>
            </w:r>
          </w:p>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等级</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政府性基金及附加</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输配</w:t>
            </w:r>
          </w:p>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电价</w:t>
            </w:r>
          </w:p>
        </w:tc>
        <w:tc>
          <w:tcPr>
            <w:tcW w:w="1148"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等效</w:t>
            </w:r>
          </w:p>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电价</w:t>
            </w:r>
          </w:p>
        </w:tc>
        <w:tc>
          <w:tcPr>
            <w:tcW w:w="1234"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电网用户电度目录电价</w:t>
            </w:r>
          </w:p>
        </w:tc>
        <w:tc>
          <w:tcPr>
            <w:tcW w:w="1000"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我方电价降幅</w:t>
            </w:r>
          </w:p>
        </w:tc>
        <w:tc>
          <w:tcPr>
            <w:tcW w:w="1135"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我方用户最终落地电度电价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03"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定义</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(B)</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(C)</w:t>
            </w:r>
          </w:p>
        </w:tc>
        <w:tc>
          <w:tcPr>
            <w:tcW w:w="1148"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(D)</w:t>
            </w:r>
          </w:p>
        </w:tc>
        <w:tc>
          <w:tcPr>
            <w:tcW w:w="1234"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A=B+C+D</w:t>
            </w:r>
          </w:p>
        </w:tc>
        <w:tc>
          <w:tcPr>
            <w:tcW w:w="1000"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35"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03"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sz w:val="22"/>
                <w:szCs w:val="22"/>
              </w:rPr>
              <w:t>10</w:t>
            </w:r>
            <w:r>
              <w:rPr>
                <w:rFonts w:hint="eastAsia" w:cs="宋体" w:asciiTheme="minorEastAsia" w:hAnsiTheme="minorEastAsia" w:eastAsiaTheme="minorEastAsia"/>
                <w:color w:val="000000"/>
                <w:sz w:val="22"/>
                <w:szCs w:val="22"/>
              </w:rPr>
              <w:t>千伏</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48"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234"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000"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35"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c>
          <w:tcPr>
            <w:tcW w:w="8414" w:type="dxa"/>
            <w:gridSpan w:val="7"/>
          </w:tcPr>
          <w:p>
            <w:pPr>
              <w:spacing w:line="500" w:lineRule="exac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注：1、输配电费、政府基金及附加按政府现行文件执行。</w:t>
            </w:r>
            <w:r>
              <w:rPr>
                <w:rFonts w:hint="eastAsia" w:asciiTheme="minorEastAsia" w:hAnsiTheme="minorEastAsia" w:eastAsiaTheme="minorEastAsia" w:cstheme="minorBidi"/>
                <w:sz w:val="22"/>
                <w:szCs w:val="22"/>
              </w:rPr>
              <w:br w:type="textWrapping"/>
            </w:r>
            <w:r>
              <w:rPr>
                <w:rFonts w:hint="eastAsia" w:asciiTheme="minorEastAsia" w:hAnsiTheme="minorEastAsia" w:eastAsiaTheme="minorEastAsia" w:cstheme="minorBidi"/>
                <w:sz w:val="22"/>
                <w:szCs w:val="22"/>
              </w:rPr>
              <w:t xml:space="preserve">    2、用户最终落地价格不含变压器基本容量电费。</w:t>
            </w:r>
          </w:p>
        </w:tc>
      </w:tr>
    </w:tbl>
    <w:p>
      <w:pPr>
        <w:pStyle w:val="94"/>
        <w:widowControl/>
        <w:tabs>
          <w:tab w:val="left" w:pos="1188"/>
        </w:tabs>
        <w:kinsoku w:val="0"/>
        <w:overflowPunct w:val="0"/>
        <w:spacing w:before="131" w:line="500" w:lineRule="exact"/>
        <w:ind w:left="1187" w:right="440" w:firstLine="440"/>
        <w:jc w:val="right"/>
        <w:rPr>
          <w:rFonts w:cs="宋体" w:asciiTheme="minorEastAsia" w:hAnsiTheme="minorEastAsia" w:eastAsiaTheme="minorEastAsia"/>
          <w:color w:val="000000"/>
          <w:sz w:val="22"/>
          <w:szCs w:val="22"/>
        </w:rPr>
      </w:pPr>
    </w:p>
    <w:p>
      <w:pPr>
        <w:widowControl/>
        <w:tabs>
          <w:tab w:val="left" w:pos="1188"/>
        </w:tabs>
        <w:kinsoku w:val="0"/>
        <w:overflowPunct w:val="0"/>
        <w:spacing w:before="131" w:line="500" w:lineRule="exact"/>
        <w:ind w:right="550"/>
        <w:jc w:val="left"/>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表二：                       报价单位：人民币元/kw.h（含13%</w:t>
      </w:r>
      <w:r>
        <w:rPr>
          <w:rFonts w:hint="eastAsia" w:cs="宋体" w:asciiTheme="minorEastAsia" w:hAnsiTheme="minorEastAsia" w:eastAsiaTheme="minorEastAsia"/>
          <w:color w:val="000000"/>
          <w:sz w:val="22"/>
          <w:szCs w:val="22"/>
          <w:lang w:val="en-US" w:eastAsia="zh-CN"/>
        </w:rPr>
        <w:t>全额</w:t>
      </w:r>
      <w:r>
        <w:rPr>
          <w:rFonts w:hint="eastAsia" w:cs="宋体" w:asciiTheme="minorEastAsia" w:hAnsiTheme="minorEastAsia" w:eastAsiaTheme="minorEastAsia"/>
          <w:color w:val="000000"/>
          <w:sz w:val="22"/>
          <w:szCs w:val="22"/>
        </w:rPr>
        <w:t>增值税）</w:t>
      </w:r>
    </w:p>
    <w:tbl>
      <w:tblPr>
        <w:tblStyle w:val="9"/>
        <w:tblW w:w="8414"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03"/>
        <w:gridCol w:w="1147"/>
        <w:gridCol w:w="1147"/>
        <w:gridCol w:w="1148"/>
        <w:gridCol w:w="1234"/>
        <w:gridCol w:w="1000"/>
        <w:gridCol w:w="11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03"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电压</w:t>
            </w:r>
          </w:p>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等级</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政府性基金及附加</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输配</w:t>
            </w:r>
          </w:p>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电价</w:t>
            </w:r>
          </w:p>
        </w:tc>
        <w:tc>
          <w:tcPr>
            <w:tcW w:w="1148"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等效</w:t>
            </w:r>
          </w:p>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电价</w:t>
            </w:r>
          </w:p>
        </w:tc>
        <w:tc>
          <w:tcPr>
            <w:tcW w:w="1234"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电网用户电度目录电价</w:t>
            </w:r>
          </w:p>
        </w:tc>
        <w:tc>
          <w:tcPr>
            <w:tcW w:w="1000"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我方电价降幅</w:t>
            </w:r>
          </w:p>
        </w:tc>
        <w:tc>
          <w:tcPr>
            <w:tcW w:w="1135"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我方用户最终落地电度电价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03"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定义</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(B)</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(C)</w:t>
            </w:r>
          </w:p>
        </w:tc>
        <w:tc>
          <w:tcPr>
            <w:tcW w:w="1148"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(D)</w:t>
            </w:r>
          </w:p>
        </w:tc>
        <w:tc>
          <w:tcPr>
            <w:tcW w:w="1234"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hint="eastAsia" w:cs="宋体" w:asciiTheme="minorEastAsia" w:hAnsiTheme="minorEastAsia" w:eastAsiaTheme="minorEastAsia"/>
                <w:color w:val="000000"/>
                <w:sz w:val="22"/>
                <w:szCs w:val="22"/>
              </w:rPr>
              <w:t>A=B+C+D</w:t>
            </w:r>
          </w:p>
        </w:tc>
        <w:tc>
          <w:tcPr>
            <w:tcW w:w="1000"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35"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603"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r>
              <w:rPr>
                <w:rFonts w:cs="宋体" w:asciiTheme="minorEastAsia" w:hAnsiTheme="minorEastAsia" w:eastAsiaTheme="minorEastAsia"/>
                <w:color w:val="000000"/>
                <w:sz w:val="22"/>
                <w:szCs w:val="22"/>
              </w:rPr>
              <w:t>35</w:t>
            </w:r>
            <w:r>
              <w:rPr>
                <w:rFonts w:hint="eastAsia" w:cs="宋体" w:asciiTheme="minorEastAsia" w:hAnsiTheme="minorEastAsia" w:eastAsiaTheme="minorEastAsia"/>
                <w:color w:val="000000"/>
                <w:sz w:val="22"/>
                <w:szCs w:val="22"/>
              </w:rPr>
              <w:t>千伏</w:t>
            </w: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47"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48"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234"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000"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c>
          <w:tcPr>
            <w:tcW w:w="1135" w:type="dxa"/>
            <w:vAlign w:val="center"/>
          </w:tcPr>
          <w:p>
            <w:pPr>
              <w:widowControl/>
              <w:kinsoku w:val="0"/>
              <w:overflowPunct w:val="0"/>
              <w:spacing w:line="500" w:lineRule="exact"/>
              <w:jc w:val="center"/>
              <w:rPr>
                <w:rFonts w:cs="宋体" w:asciiTheme="minorEastAsia" w:hAnsiTheme="minorEastAsia" w:eastAsiaTheme="minorEastAsia"/>
                <w:color w:val="000000"/>
                <w:sz w:val="22"/>
                <w:szCs w:val="2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414" w:type="dxa"/>
            <w:gridSpan w:val="7"/>
          </w:tcPr>
          <w:p>
            <w:pPr>
              <w:spacing w:line="500" w:lineRule="exac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注：1、输配电费、政府基金及附加按政府现行文件执行。</w:t>
            </w:r>
            <w:r>
              <w:rPr>
                <w:rFonts w:hint="eastAsia" w:asciiTheme="minorEastAsia" w:hAnsiTheme="minorEastAsia" w:eastAsiaTheme="minorEastAsia" w:cstheme="minorBidi"/>
                <w:sz w:val="22"/>
                <w:szCs w:val="22"/>
              </w:rPr>
              <w:br w:type="textWrapping"/>
            </w:r>
            <w:r>
              <w:rPr>
                <w:rFonts w:hint="eastAsia" w:asciiTheme="minorEastAsia" w:hAnsiTheme="minorEastAsia" w:eastAsiaTheme="minorEastAsia" w:cstheme="minorBidi"/>
                <w:sz w:val="22"/>
                <w:szCs w:val="22"/>
              </w:rPr>
              <w:t xml:space="preserve">    2、用户最终落地价格不含变压器基本容量电费。</w:t>
            </w:r>
          </w:p>
        </w:tc>
      </w:tr>
    </w:tbl>
    <w:p>
      <w:pPr>
        <w:widowControl/>
        <w:adjustRightInd w:val="0"/>
        <w:snapToGrid w:val="0"/>
        <w:spacing w:line="500" w:lineRule="exact"/>
        <w:ind w:firstLine="4340" w:firstLineChars="1550"/>
        <w:rPr>
          <w:rFonts w:ascii="楷体" w:hAnsi="楷体" w:eastAsia="楷体"/>
          <w:sz w:val="28"/>
          <w:szCs w:val="28"/>
        </w:rPr>
      </w:pPr>
    </w:p>
    <w:p>
      <w:pPr>
        <w:widowControl/>
        <w:adjustRightInd w:val="0"/>
        <w:snapToGrid w:val="0"/>
        <w:spacing w:line="500" w:lineRule="exact"/>
        <w:ind w:firstLine="4340" w:firstLineChars="1550"/>
        <w:rPr>
          <w:rFonts w:ascii="楷体" w:hAnsi="楷体" w:eastAsia="楷体"/>
          <w:sz w:val="28"/>
          <w:szCs w:val="28"/>
        </w:rPr>
      </w:pPr>
    </w:p>
    <w:p>
      <w:pPr>
        <w:widowControl/>
        <w:adjustRightInd w:val="0"/>
        <w:snapToGrid w:val="0"/>
        <w:spacing w:line="500" w:lineRule="exact"/>
        <w:ind w:firstLine="4340" w:firstLineChars="1550"/>
        <w:rPr>
          <w:rFonts w:ascii="楷体" w:hAnsi="楷体" w:eastAsia="楷体"/>
          <w:sz w:val="28"/>
          <w:szCs w:val="28"/>
        </w:rPr>
      </w:pPr>
      <w:r>
        <w:rPr>
          <w:rFonts w:ascii="楷体" w:hAnsi="楷体" w:eastAsia="楷体"/>
          <w:sz w:val="28"/>
          <w:szCs w:val="28"/>
        </w:rPr>
        <w:t>投标人名称</w:t>
      </w:r>
      <w:r>
        <w:rPr>
          <w:rFonts w:hint="eastAsia" w:ascii="楷体" w:hAnsi="楷体" w:eastAsia="楷体"/>
          <w:sz w:val="28"/>
          <w:szCs w:val="28"/>
        </w:rPr>
        <w:t>（盖公章）</w:t>
      </w:r>
      <w:r>
        <w:rPr>
          <w:rFonts w:ascii="楷体" w:hAnsi="楷体" w:eastAsia="楷体"/>
          <w:sz w:val="28"/>
          <w:szCs w:val="28"/>
        </w:rPr>
        <w:t>：</w:t>
      </w:r>
    </w:p>
    <w:p>
      <w:pPr>
        <w:widowControl/>
        <w:adjustRightInd w:val="0"/>
        <w:snapToGrid w:val="0"/>
        <w:spacing w:line="500" w:lineRule="exact"/>
        <w:ind w:firstLine="4340" w:firstLineChars="1550"/>
        <w:rPr>
          <w:rFonts w:ascii="楷体" w:hAnsi="楷体" w:eastAsia="楷体"/>
          <w:sz w:val="28"/>
          <w:szCs w:val="28"/>
        </w:rPr>
      </w:pPr>
      <w:r>
        <w:rPr>
          <w:rFonts w:ascii="楷体" w:hAnsi="楷体" w:eastAsia="楷体"/>
          <w:sz w:val="28"/>
          <w:szCs w:val="28"/>
        </w:rPr>
        <w:t>地址：</w:t>
      </w:r>
    </w:p>
    <w:p>
      <w:pPr>
        <w:widowControl/>
        <w:adjustRightInd w:val="0"/>
        <w:snapToGrid w:val="0"/>
        <w:spacing w:line="500" w:lineRule="exact"/>
        <w:ind w:firstLine="4340" w:firstLineChars="1550"/>
        <w:rPr>
          <w:rFonts w:ascii="楷体" w:hAnsi="楷体" w:eastAsia="楷体"/>
          <w:sz w:val="28"/>
          <w:szCs w:val="28"/>
        </w:rPr>
      </w:pPr>
      <w:r>
        <w:rPr>
          <w:rFonts w:ascii="楷体" w:hAnsi="楷体" w:eastAsia="楷体"/>
          <w:sz w:val="28"/>
          <w:szCs w:val="28"/>
        </w:rPr>
        <w:t>电话：</w:t>
      </w:r>
    </w:p>
    <w:p>
      <w:pPr>
        <w:widowControl/>
        <w:adjustRightInd w:val="0"/>
        <w:snapToGrid w:val="0"/>
        <w:spacing w:line="500" w:lineRule="exact"/>
        <w:ind w:firstLine="4340" w:firstLineChars="1550"/>
        <w:rPr>
          <w:rFonts w:ascii="楷体" w:hAnsi="楷体" w:eastAsia="楷体"/>
          <w:sz w:val="28"/>
          <w:szCs w:val="28"/>
        </w:rPr>
      </w:pPr>
      <w:r>
        <w:rPr>
          <w:rFonts w:ascii="楷体" w:hAnsi="楷体" w:eastAsia="楷体"/>
          <w:sz w:val="28"/>
          <w:szCs w:val="28"/>
        </w:rPr>
        <w:t>委托代理人姓名、职务：</w:t>
      </w:r>
    </w:p>
    <w:p>
      <w:pPr>
        <w:widowControl/>
        <w:adjustRightInd w:val="0"/>
        <w:snapToGrid w:val="0"/>
        <w:spacing w:line="500" w:lineRule="exact"/>
        <w:ind w:firstLine="4340" w:firstLineChars="1550"/>
        <w:rPr>
          <w:rFonts w:ascii="楷体" w:hAnsi="楷体" w:eastAsia="楷体"/>
          <w:sz w:val="28"/>
          <w:szCs w:val="28"/>
        </w:rPr>
      </w:pPr>
      <w:r>
        <w:rPr>
          <w:rFonts w:ascii="楷体" w:hAnsi="楷体" w:eastAsia="楷体"/>
          <w:sz w:val="28"/>
          <w:szCs w:val="28"/>
        </w:rPr>
        <w:t>传真：</w:t>
      </w:r>
    </w:p>
    <w:p>
      <w:pPr>
        <w:widowControl/>
        <w:adjustRightInd w:val="0"/>
        <w:snapToGrid w:val="0"/>
        <w:spacing w:line="500" w:lineRule="exact"/>
        <w:ind w:firstLine="4340" w:firstLineChars="1550"/>
        <w:rPr>
          <w:rFonts w:ascii="楷体" w:hAnsi="楷体" w:eastAsia="楷体"/>
          <w:sz w:val="28"/>
          <w:szCs w:val="28"/>
        </w:rPr>
      </w:pPr>
      <w:r>
        <w:rPr>
          <w:rFonts w:ascii="楷体" w:hAnsi="楷体" w:eastAsia="楷体"/>
          <w:sz w:val="28"/>
          <w:szCs w:val="28"/>
        </w:rPr>
        <w:t>邮编：</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fldChar w:fldCharType="begin"/>
    </w:r>
    <w:r>
      <w:instrText xml:space="preserve"> PAGE   \* MERGEFORMAT </w:instrText>
    </w:r>
    <w:r>
      <w:fldChar w:fldCharType="separate"/>
    </w:r>
    <w:r>
      <w:rPr>
        <w:lang w:val="zh-CN"/>
      </w:rPr>
      <w:t>9</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rPr>
      <w:drawing>
        <wp:inline distT="0" distB="0" distL="0" distR="0">
          <wp:extent cx="1054100" cy="276225"/>
          <wp:effectExtent l="0" t="0" r="1270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rcRect l="23692" t="37846" r="14616" b="46000"/>
                  <a:stretch>
                    <a:fillRect/>
                  </a:stretch>
                </pic:blipFill>
                <pic:spPr>
                  <a:xfrm>
                    <a:off x="0" y="0"/>
                    <a:ext cx="1054100" cy="276225"/>
                  </a:xfrm>
                  <a:prstGeom prst="rect">
                    <a:avLst/>
                  </a:prstGeom>
                  <a:ln>
                    <a:noFill/>
                  </a:ln>
                </pic:spPr>
              </pic:pic>
            </a:graphicData>
          </a:graphic>
        </wp:inline>
      </w:drawing>
    </w:r>
    <w:r>
      <w:rPr>
        <w:rFonts w:hint="eastAsia"/>
      </w:rPr>
      <w:drawing>
        <wp:inline distT="0" distB="0" distL="0" distR="0">
          <wp:extent cx="1685925" cy="285750"/>
          <wp:effectExtent l="19050" t="0" r="9525" b="0"/>
          <wp:docPr id="2" name="图片 0" descr="PSM--logo左中英文全称组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PSM--logo左中英文全称组合.png"/>
                  <pic:cNvPicPr>
                    <a:picLocks noChangeAspect="1"/>
                  </pic:cNvPicPr>
                </pic:nvPicPr>
                <pic:blipFill>
                  <a:blip r:embed="rId2" cstate="print"/>
                  <a:stretch>
                    <a:fillRect/>
                  </a:stretch>
                </pic:blipFill>
                <pic:spPr>
                  <a:xfrm>
                    <a:off x="0" y="0"/>
                    <a:ext cx="1689855" cy="286416"/>
                  </a:xfrm>
                  <a:prstGeom prst="rect">
                    <a:avLst/>
                  </a:prstGeom>
                </pic:spPr>
              </pic:pic>
            </a:graphicData>
          </a:graphic>
        </wp:inline>
      </w:drawing>
    </w:r>
    <w:r>
      <w:rPr>
        <w:rFonts w:hint="eastAsia"/>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E5B"/>
    <w:rsid w:val="000029D5"/>
    <w:rsid w:val="00003E04"/>
    <w:rsid w:val="00004EA8"/>
    <w:rsid w:val="00007C7B"/>
    <w:rsid w:val="00015557"/>
    <w:rsid w:val="00021F81"/>
    <w:rsid w:val="000263DA"/>
    <w:rsid w:val="000355F1"/>
    <w:rsid w:val="00040BA2"/>
    <w:rsid w:val="000431A3"/>
    <w:rsid w:val="000444B1"/>
    <w:rsid w:val="000541CB"/>
    <w:rsid w:val="0006053A"/>
    <w:rsid w:val="00067722"/>
    <w:rsid w:val="00086BB8"/>
    <w:rsid w:val="00093C12"/>
    <w:rsid w:val="00094A57"/>
    <w:rsid w:val="000A0C39"/>
    <w:rsid w:val="000B249A"/>
    <w:rsid w:val="000B456F"/>
    <w:rsid w:val="000C27B0"/>
    <w:rsid w:val="000D220C"/>
    <w:rsid w:val="000D6601"/>
    <w:rsid w:val="000E4611"/>
    <w:rsid w:val="000E78CC"/>
    <w:rsid w:val="0010032A"/>
    <w:rsid w:val="0012731E"/>
    <w:rsid w:val="001311A2"/>
    <w:rsid w:val="001322AA"/>
    <w:rsid w:val="001366F0"/>
    <w:rsid w:val="0014424D"/>
    <w:rsid w:val="001459E0"/>
    <w:rsid w:val="00150B0E"/>
    <w:rsid w:val="001532E3"/>
    <w:rsid w:val="001537A5"/>
    <w:rsid w:val="00154209"/>
    <w:rsid w:val="00161681"/>
    <w:rsid w:val="00175A55"/>
    <w:rsid w:val="00193C2B"/>
    <w:rsid w:val="00194FC2"/>
    <w:rsid w:val="001A5AB7"/>
    <w:rsid w:val="001B53B5"/>
    <w:rsid w:val="001B5CEB"/>
    <w:rsid w:val="001B6812"/>
    <w:rsid w:val="001B752B"/>
    <w:rsid w:val="001D5BEF"/>
    <w:rsid w:val="001F1413"/>
    <w:rsid w:val="001F71AB"/>
    <w:rsid w:val="002042FB"/>
    <w:rsid w:val="00206428"/>
    <w:rsid w:val="002072E6"/>
    <w:rsid w:val="00213A70"/>
    <w:rsid w:val="00214AF4"/>
    <w:rsid w:val="00214DF0"/>
    <w:rsid w:val="00215346"/>
    <w:rsid w:val="00220ACA"/>
    <w:rsid w:val="00226097"/>
    <w:rsid w:val="00242D9D"/>
    <w:rsid w:val="00243784"/>
    <w:rsid w:val="00244027"/>
    <w:rsid w:val="0024418B"/>
    <w:rsid w:val="00246A90"/>
    <w:rsid w:val="002636B5"/>
    <w:rsid w:val="00266E27"/>
    <w:rsid w:val="0027183B"/>
    <w:rsid w:val="00287CAA"/>
    <w:rsid w:val="00297D21"/>
    <w:rsid w:val="002A0F27"/>
    <w:rsid w:val="002B13D7"/>
    <w:rsid w:val="002B1CAC"/>
    <w:rsid w:val="002B6ABF"/>
    <w:rsid w:val="002B6BB5"/>
    <w:rsid w:val="002B706B"/>
    <w:rsid w:val="002C20FD"/>
    <w:rsid w:val="002C5C98"/>
    <w:rsid w:val="002D4BA4"/>
    <w:rsid w:val="002D5CA5"/>
    <w:rsid w:val="002E3FB8"/>
    <w:rsid w:val="003051F0"/>
    <w:rsid w:val="00321149"/>
    <w:rsid w:val="0032345D"/>
    <w:rsid w:val="00331565"/>
    <w:rsid w:val="0033185B"/>
    <w:rsid w:val="00331ADB"/>
    <w:rsid w:val="00336574"/>
    <w:rsid w:val="00343E59"/>
    <w:rsid w:val="00350E94"/>
    <w:rsid w:val="003612EA"/>
    <w:rsid w:val="00362190"/>
    <w:rsid w:val="00363A3B"/>
    <w:rsid w:val="003729D3"/>
    <w:rsid w:val="0037681B"/>
    <w:rsid w:val="003806FB"/>
    <w:rsid w:val="00380A49"/>
    <w:rsid w:val="00381720"/>
    <w:rsid w:val="00382403"/>
    <w:rsid w:val="0038504A"/>
    <w:rsid w:val="003854BA"/>
    <w:rsid w:val="003926C6"/>
    <w:rsid w:val="00393543"/>
    <w:rsid w:val="00395B7B"/>
    <w:rsid w:val="003A28B9"/>
    <w:rsid w:val="003A3257"/>
    <w:rsid w:val="003C055B"/>
    <w:rsid w:val="003C2627"/>
    <w:rsid w:val="003C5DA7"/>
    <w:rsid w:val="003C6518"/>
    <w:rsid w:val="003C6D23"/>
    <w:rsid w:val="003E24C5"/>
    <w:rsid w:val="003E3DE9"/>
    <w:rsid w:val="003F1E23"/>
    <w:rsid w:val="003F3583"/>
    <w:rsid w:val="003F50F0"/>
    <w:rsid w:val="00402807"/>
    <w:rsid w:val="0040689B"/>
    <w:rsid w:val="00413F04"/>
    <w:rsid w:val="004208B7"/>
    <w:rsid w:val="0042606A"/>
    <w:rsid w:val="0043240B"/>
    <w:rsid w:val="00432CF2"/>
    <w:rsid w:val="0043491A"/>
    <w:rsid w:val="00450991"/>
    <w:rsid w:val="00467A27"/>
    <w:rsid w:val="004701C0"/>
    <w:rsid w:val="00477191"/>
    <w:rsid w:val="00490506"/>
    <w:rsid w:val="00493336"/>
    <w:rsid w:val="004967DB"/>
    <w:rsid w:val="004A66FE"/>
    <w:rsid w:val="004B0B78"/>
    <w:rsid w:val="004B4654"/>
    <w:rsid w:val="004C43AC"/>
    <w:rsid w:val="004C5F76"/>
    <w:rsid w:val="004D15A3"/>
    <w:rsid w:val="004D2DA7"/>
    <w:rsid w:val="004E0AA4"/>
    <w:rsid w:val="004E18B4"/>
    <w:rsid w:val="004E3433"/>
    <w:rsid w:val="004E6E78"/>
    <w:rsid w:val="004F329C"/>
    <w:rsid w:val="004F5772"/>
    <w:rsid w:val="00512247"/>
    <w:rsid w:val="00533F28"/>
    <w:rsid w:val="00561E26"/>
    <w:rsid w:val="00562480"/>
    <w:rsid w:val="005654D3"/>
    <w:rsid w:val="0058176D"/>
    <w:rsid w:val="00596301"/>
    <w:rsid w:val="005A3BBD"/>
    <w:rsid w:val="005A40AA"/>
    <w:rsid w:val="005B360F"/>
    <w:rsid w:val="005C44C2"/>
    <w:rsid w:val="005C72D5"/>
    <w:rsid w:val="005E2D10"/>
    <w:rsid w:val="005E49C0"/>
    <w:rsid w:val="005E4D52"/>
    <w:rsid w:val="005F5509"/>
    <w:rsid w:val="005F5979"/>
    <w:rsid w:val="005F5C54"/>
    <w:rsid w:val="00601200"/>
    <w:rsid w:val="00614121"/>
    <w:rsid w:val="00621879"/>
    <w:rsid w:val="00630F25"/>
    <w:rsid w:val="0063671A"/>
    <w:rsid w:val="00641007"/>
    <w:rsid w:val="00645AA2"/>
    <w:rsid w:val="006466EA"/>
    <w:rsid w:val="0065158B"/>
    <w:rsid w:val="00661B99"/>
    <w:rsid w:val="0066432D"/>
    <w:rsid w:val="0066542F"/>
    <w:rsid w:val="0066719E"/>
    <w:rsid w:val="006711FC"/>
    <w:rsid w:val="00677D22"/>
    <w:rsid w:val="00682078"/>
    <w:rsid w:val="00683EEF"/>
    <w:rsid w:val="0069188E"/>
    <w:rsid w:val="006958AB"/>
    <w:rsid w:val="006A3A73"/>
    <w:rsid w:val="006B4380"/>
    <w:rsid w:val="006B55A1"/>
    <w:rsid w:val="006C3A47"/>
    <w:rsid w:val="006C6204"/>
    <w:rsid w:val="006D2293"/>
    <w:rsid w:val="006D4DC4"/>
    <w:rsid w:val="006D54A7"/>
    <w:rsid w:val="006E030B"/>
    <w:rsid w:val="006E4068"/>
    <w:rsid w:val="006F63F5"/>
    <w:rsid w:val="00703DD3"/>
    <w:rsid w:val="00711C7A"/>
    <w:rsid w:val="00734BD5"/>
    <w:rsid w:val="00735C08"/>
    <w:rsid w:val="00746225"/>
    <w:rsid w:val="00757B95"/>
    <w:rsid w:val="00774BE4"/>
    <w:rsid w:val="00794333"/>
    <w:rsid w:val="007A0D62"/>
    <w:rsid w:val="007B0DC5"/>
    <w:rsid w:val="007C1FAA"/>
    <w:rsid w:val="007D71DF"/>
    <w:rsid w:val="007E1551"/>
    <w:rsid w:val="007E682D"/>
    <w:rsid w:val="007F0A60"/>
    <w:rsid w:val="007F6684"/>
    <w:rsid w:val="008001AC"/>
    <w:rsid w:val="0081774D"/>
    <w:rsid w:val="008204BA"/>
    <w:rsid w:val="00823E1B"/>
    <w:rsid w:val="008240B5"/>
    <w:rsid w:val="00824E1C"/>
    <w:rsid w:val="008332D2"/>
    <w:rsid w:val="00834D1D"/>
    <w:rsid w:val="008545D4"/>
    <w:rsid w:val="00860E95"/>
    <w:rsid w:val="00863C27"/>
    <w:rsid w:val="00865C75"/>
    <w:rsid w:val="00867DEC"/>
    <w:rsid w:val="008823B4"/>
    <w:rsid w:val="008A4062"/>
    <w:rsid w:val="008B2C47"/>
    <w:rsid w:val="008C0EFE"/>
    <w:rsid w:val="008C188B"/>
    <w:rsid w:val="008C4C6B"/>
    <w:rsid w:val="008D2EC5"/>
    <w:rsid w:val="008E5D6D"/>
    <w:rsid w:val="008E6412"/>
    <w:rsid w:val="008F22DD"/>
    <w:rsid w:val="008F4D38"/>
    <w:rsid w:val="00924E3A"/>
    <w:rsid w:val="00935652"/>
    <w:rsid w:val="00941495"/>
    <w:rsid w:val="009637A7"/>
    <w:rsid w:val="00992B54"/>
    <w:rsid w:val="00993556"/>
    <w:rsid w:val="00994139"/>
    <w:rsid w:val="009952DC"/>
    <w:rsid w:val="009A4C46"/>
    <w:rsid w:val="009B5EC5"/>
    <w:rsid w:val="009C3D29"/>
    <w:rsid w:val="009C3D55"/>
    <w:rsid w:val="009C6363"/>
    <w:rsid w:val="009C63B1"/>
    <w:rsid w:val="009D09FB"/>
    <w:rsid w:val="009D0D78"/>
    <w:rsid w:val="009D5F2A"/>
    <w:rsid w:val="009F168D"/>
    <w:rsid w:val="00A009C6"/>
    <w:rsid w:val="00A00B8B"/>
    <w:rsid w:val="00A01979"/>
    <w:rsid w:val="00A02A32"/>
    <w:rsid w:val="00A02B0D"/>
    <w:rsid w:val="00A076CC"/>
    <w:rsid w:val="00A237D4"/>
    <w:rsid w:val="00A41CCA"/>
    <w:rsid w:val="00A47D84"/>
    <w:rsid w:val="00A52163"/>
    <w:rsid w:val="00A547F0"/>
    <w:rsid w:val="00A72A65"/>
    <w:rsid w:val="00A73372"/>
    <w:rsid w:val="00A862A4"/>
    <w:rsid w:val="00A875FD"/>
    <w:rsid w:val="00A9266B"/>
    <w:rsid w:val="00A93E2D"/>
    <w:rsid w:val="00AA304B"/>
    <w:rsid w:val="00AA3DB8"/>
    <w:rsid w:val="00AA5D98"/>
    <w:rsid w:val="00AA687D"/>
    <w:rsid w:val="00AA6ABD"/>
    <w:rsid w:val="00AB5E63"/>
    <w:rsid w:val="00AC025E"/>
    <w:rsid w:val="00AC56A1"/>
    <w:rsid w:val="00AD5D5C"/>
    <w:rsid w:val="00AE194A"/>
    <w:rsid w:val="00AE7BB3"/>
    <w:rsid w:val="00B01408"/>
    <w:rsid w:val="00B20BEA"/>
    <w:rsid w:val="00B25712"/>
    <w:rsid w:val="00B3076F"/>
    <w:rsid w:val="00B3130B"/>
    <w:rsid w:val="00B366C7"/>
    <w:rsid w:val="00B368A9"/>
    <w:rsid w:val="00B42965"/>
    <w:rsid w:val="00B4653F"/>
    <w:rsid w:val="00B56230"/>
    <w:rsid w:val="00B756B2"/>
    <w:rsid w:val="00B8104F"/>
    <w:rsid w:val="00B854D7"/>
    <w:rsid w:val="00B85A07"/>
    <w:rsid w:val="00B868F4"/>
    <w:rsid w:val="00B86987"/>
    <w:rsid w:val="00B9628A"/>
    <w:rsid w:val="00BA0325"/>
    <w:rsid w:val="00BA1E5B"/>
    <w:rsid w:val="00BB7003"/>
    <w:rsid w:val="00BB73A4"/>
    <w:rsid w:val="00BD16EB"/>
    <w:rsid w:val="00BD5A59"/>
    <w:rsid w:val="00BE1F79"/>
    <w:rsid w:val="00BE424C"/>
    <w:rsid w:val="00BE5BB3"/>
    <w:rsid w:val="00BE6A7E"/>
    <w:rsid w:val="00BF414D"/>
    <w:rsid w:val="00C02FFC"/>
    <w:rsid w:val="00C05C6E"/>
    <w:rsid w:val="00C20F22"/>
    <w:rsid w:val="00C24743"/>
    <w:rsid w:val="00C25BA5"/>
    <w:rsid w:val="00C268F6"/>
    <w:rsid w:val="00C37734"/>
    <w:rsid w:val="00C40464"/>
    <w:rsid w:val="00C43451"/>
    <w:rsid w:val="00C47BDC"/>
    <w:rsid w:val="00C5680E"/>
    <w:rsid w:val="00C5759D"/>
    <w:rsid w:val="00C711E4"/>
    <w:rsid w:val="00C97E1B"/>
    <w:rsid w:val="00CA003B"/>
    <w:rsid w:val="00CA03FB"/>
    <w:rsid w:val="00CA72EF"/>
    <w:rsid w:val="00CA7DC4"/>
    <w:rsid w:val="00CB11D3"/>
    <w:rsid w:val="00CB7F79"/>
    <w:rsid w:val="00CC1651"/>
    <w:rsid w:val="00CC3A88"/>
    <w:rsid w:val="00CD1907"/>
    <w:rsid w:val="00CD4516"/>
    <w:rsid w:val="00CE4754"/>
    <w:rsid w:val="00CF14C1"/>
    <w:rsid w:val="00CF3A57"/>
    <w:rsid w:val="00D0493F"/>
    <w:rsid w:val="00D202F9"/>
    <w:rsid w:val="00D20678"/>
    <w:rsid w:val="00D32FE7"/>
    <w:rsid w:val="00D33791"/>
    <w:rsid w:val="00D35F23"/>
    <w:rsid w:val="00D44840"/>
    <w:rsid w:val="00D53067"/>
    <w:rsid w:val="00D53996"/>
    <w:rsid w:val="00D57828"/>
    <w:rsid w:val="00D642EF"/>
    <w:rsid w:val="00D77B20"/>
    <w:rsid w:val="00D867DF"/>
    <w:rsid w:val="00D916DF"/>
    <w:rsid w:val="00DA0BD0"/>
    <w:rsid w:val="00DA5D39"/>
    <w:rsid w:val="00DB55E0"/>
    <w:rsid w:val="00DB75BA"/>
    <w:rsid w:val="00DB7619"/>
    <w:rsid w:val="00DB7700"/>
    <w:rsid w:val="00DD40AA"/>
    <w:rsid w:val="00DE5DAB"/>
    <w:rsid w:val="00E06DE3"/>
    <w:rsid w:val="00E10FE8"/>
    <w:rsid w:val="00E1781C"/>
    <w:rsid w:val="00E20D58"/>
    <w:rsid w:val="00E445BF"/>
    <w:rsid w:val="00E7179B"/>
    <w:rsid w:val="00E84B65"/>
    <w:rsid w:val="00E84CC1"/>
    <w:rsid w:val="00E85519"/>
    <w:rsid w:val="00E90370"/>
    <w:rsid w:val="00E926E2"/>
    <w:rsid w:val="00EA18A3"/>
    <w:rsid w:val="00EA629C"/>
    <w:rsid w:val="00EB7958"/>
    <w:rsid w:val="00EB7FA4"/>
    <w:rsid w:val="00EC1409"/>
    <w:rsid w:val="00EC5716"/>
    <w:rsid w:val="00EE6C9A"/>
    <w:rsid w:val="00F01DAF"/>
    <w:rsid w:val="00F02669"/>
    <w:rsid w:val="00F0751D"/>
    <w:rsid w:val="00F24A4E"/>
    <w:rsid w:val="00F267E7"/>
    <w:rsid w:val="00F2707F"/>
    <w:rsid w:val="00F27E42"/>
    <w:rsid w:val="00F33187"/>
    <w:rsid w:val="00F3472F"/>
    <w:rsid w:val="00F34A53"/>
    <w:rsid w:val="00F36F09"/>
    <w:rsid w:val="00F4345B"/>
    <w:rsid w:val="00F64AC0"/>
    <w:rsid w:val="00F64D8F"/>
    <w:rsid w:val="00F67567"/>
    <w:rsid w:val="00F67A47"/>
    <w:rsid w:val="00F810E0"/>
    <w:rsid w:val="00F869BE"/>
    <w:rsid w:val="00F93B0A"/>
    <w:rsid w:val="00F9484D"/>
    <w:rsid w:val="00F95FDC"/>
    <w:rsid w:val="00FA1B6E"/>
    <w:rsid w:val="00FA23DB"/>
    <w:rsid w:val="00FA3518"/>
    <w:rsid w:val="00FB31B8"/>
    <w:rsid w:val="00FB4CDE"/>
    <w:rsid w:val="00FC1E81"/>
    <w:rsid w:val="00FC204D"/>
    <w:rsid w:val="00FD1F8A"/>
    <w:rsid w:val="00FD385E"/>
    <w:rsid w:val="00FE048B"/>
    <w:rsid w:val="0E99135C"/>
    <w:rsid w:val="3B430319"/>
    <w:rsid w:val="45776D83"/>
    <w:rsid w:val="64B02A13"/>
    <w:rsid w:val="6B244EBB"/>
    <w:rsid w:val="7A085054"/>
    <w:rsid w:val="7CD835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qFormat/>
    <w:uiPriority w:val="0"/>
    <w:pPr>
      <w:keepNext/>
      <w:keepLines/>
      <w:spacing w:before="260" w:after="260" w:line="416" w:lineRule="auto"/>
      <w:outlineLvl w:val="1"/>
    </w:pPr>
    <w:rPr>
      <w:rFonts w:ascii="Arial" w:hAnsi="Arial" w:eastAsia="黑体"/>
      <w:b/>
      <w:bCs/>
      <w:kern w:val="0"/>
      <w:sz w:val="32"/>
      <w:szCs w:val="32"/>
    </w:rPr>
  </w:style>
  <w:style w:type="paragraph" w:styleId="3">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5"/>
    <w:qFormat/>
    <w:uiPriority w:val="0"/>
    <w:rPr>
      <w:rFonts w:eastAsia="仿宋_GB2312"/>
      <w:kern w:val="0"/>
      <w:sz w:val="28"/>
      <w:szCs w:val="20"/>
    </w:r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rFonts w:asciiTheme="minorHAnsi" w:hAnsiTheme="minorHAnsi" w:eastAsiaTheme="minorEastAsia"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1">
    <w:name w:val="FollowedHyperlink"/>
    <w:basedOn w:val="10"/>
    <w:unhideWhenUsed/>
    <w:qFormat/>
    <w:uiPriority w:val="99"/>
    <w:rPr>
      <w:color w:val="800080"/>
      <w:u w:val="single"/>
    </w:rPr>
  </w:style>
  <w:style w:type="character" w:styleId="12">
    <w:name w:val="Hyperlink"/>
    <w:basedOn w:val="10"/>
    <w:unhideWhenUsed/>
    <w:qFormat/>
    <w:uiPriority w:val="99"/>
    <w:rPr>
      <w:color w:val="0000FF"/>
      <w:u w:val="single"/>
    </w:rPr>
  </w:style>
  <w:style w:type="character" w:customStyle="1" w:styleId="13">
    <w:name w:val="标题 2 Char"/>
    <w:basedOn w:val="10"/>
    <w:link w:val="2"/>
    <w:qFormat/>
    <w:uiPriority w:val="0"/>
    <w:rPr>
      <w:rFonts w:ascii="Arial" w:hAnsi="Arial" w:eastAsia="黑体" w:cs="Times New Roman"/>
      <w:b/>
      <w:bCs/>
      <w:kern w:val="0"/>
      <w:sz w:val="32"/>
      <w:szCs w:val="32"/>
    </w:rPr>
  </w:style>
  <w:style w:type="character" w:customStyle="1" w:styleId="14">
    <w:name w:val="正文文本 Char"/>
    <w:basedOn w:val="10"/>
    <w:semiHidden/>
    <w:qFormat/>
    <w:uiPriority w:val="99"/>
    <w:rPr>
      <w:rFonts w:ascii="Times New Roman" w:hAnsi="Times New Roman" w:eastAsia="宋体" w:cs="Times New Roman"/>
      <w:szCs w:val="24"/>
    </w:rPr>
  </w:style>
  <w:style w:type="character" w:customStyle="1" w:styleId="15">
    <w:name w:val="正文文本 Char1"/>
    <w:link w:val="4"/>
    <w:qFormat/>
    <w:locked/>
    <w:uiPriority w:val="0"/>
    <w:rPr>
      <w:rFonts w:ascii="Times New Roman" w:hAnsi="Times New Roman" w:eastAsia="仿宋_GB2312" w:cs="Times New Roman"/>
      <w:kern w:val="0"/>
      <w:sz w:val="28"/>
      <w:szCs w:val="20"/>
    </w:rPr>
  </w:style>
  <w:style w:type="character" w:customStyle="1" w:styleId="16">
    <w:name w:val="页脚 Char"/>
    <w:basedOn w:val="10"/>
    <w:link w:val="6"/>
    <w:qFormat/>
    <w:uiPriority w:val="99"/>
    <w:rPr>
      <w:rFonts w:ascii="Times New Roman" w:hAnsi="Times New Roman" w:eastAsia="宋体" w:cs="Times New Roman"/>
      <w:kern w:val="0"/>
      <w:sz w:val="18"/>
      <w:szCs w:val="18"/>
    </w:rPr>
  </w:style>
  <w:style w:type="paragraph" w:customStyle="1" w:styleId="17">
    <w:name w:val="列出段落1"/>
    <w:basedOn w:val="1"/>
    <w:qFormat/>
    <w:uiPriority w:val="34"/>
    <w:pPr>
      <w:ind w:firstLine="420" w:firstLineChars="200"/>
    </w:pPr>
  </w:style>
  <w:style w:type="character" w:customStyle="1" w:styleId="18">
    <w:name w:val="标题 3 Char"/>
    <w:basedOn w:val="10"/>
    <w:link w:val="3"/>
    <w:semiHidden/>
    <w:qFormat/>
    <w:uiPriority w:val="9"/>
    <w:rPr>
      <w:rFonts w:ascii="Times New Roman" w:hAnsi="Times New Roman" w:eastAsia="宋体" w:cs="Times New Roman"/>
      <w:b/>
      <w:bCs/>
      <w:sz w:val="32"/>
      <w:szCs w:val="32"/>
    </w:rPr>
  </w:style>
  <w:style w:type="character" w:customStyle="1" w:styleId="19">
    <w:name w:val="页眉 Char"/>
    <w:basedOn w:val="10"/>
    <w:link w:val="7"/>
    <w:qFormat/>
    <w:uiPriority w:val="99"/>
    <w:rPr>
      <w:rFonts w:ascii="Times New Roman" w:hAnsi="Times New Roman" w:eastAsia="宋体" w:cs="Times New Roman"/>
      <w:sz w:val="18"/>
      <w:szCs w:val="18"/>
    </w:rPr>
  </w:style>
  <w:style w:type="character" w:customStyle="1" w:styleId="20">
    <w:name w:val="批注框文本 Char"/>
    <w:basedOn w:val="10"/>
    <w:link w:val="5"/>
    <w:semiHidden/>
    <w:qFormat/>
    <w:uiPriority w:val="99"/>
    <w:rPr>
      <w:rFonts w:ascii="Times New Roman" w:hAnsi="Times New Roman" w:eastAsia="宋体" w:cs="Times New Roman"/>
      <w:sz w:val="18"/>
      <w:szCs w:val="18"/>
    </w:rPr>
  </w:style>
  <w:style w:type="paragraph" w:customStyle="1" w:styleId="2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4">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
    <w:name w:val="xl120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6">
    <w:name w:val="xl1203"/>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7">
    <w:name w:val="xl1204"/>
    <w:basedOn w:val="1"/>
    <w:qFormat/>
    <w:uiPriority w:val="0"/>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8">
    <w:name w:val="xl120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29">
    <w:name w:val="xl1206"/>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30">
    <w:name w:val="xl12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1">
    <w:name w:val="xl1208"/>
    <w:basedOn w:val="1"/>
    <w:qFormat/>
    <w:uiPriority w:val="0"/>
    <w:pPr>
      <w:widowControl/>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32">
    <w:name w:val="xl1209"/>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33">
    <w:name w:val="xl1210"/>
    <w:basedOn w:val="1"/>
    <w:qFormat/>
    <w:uiPriority w:val="0"/>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34">
    <w:name w:val="xl1211"/>
    <w:basedOn w:val="1"/>
    <w:qFormat/>
    <w:uiPriority w:val="0"/>
    <w:pPr>
      <w:widowControl/>
      <w:shd w:val="clear" w:color="000000" w:fill="FFFFFF"/>
      <w:spacing w:before="100" w:beforeAutospacing="1" w:after="100" w:afterAutospacing="1"/>
      <w:jc w:val="center"/>
    </w:pPr>
    <w:rPr>
      <w:rFonts w:ascii="黑体" w:hAnsi="黑体" w:eastAsia="黑体" w:cs="宋体"/>
      <w:b/>
      <w:bCs/>
      <w:color w:val="000000"/>
      <w:kern w:val="0"/>
      <w:sz w:val="36"/>
      <w:szCs w:val="36"/>
    </w:rPr>
  </w:style>
  <w:style w:type="paragraph" w:customStyle="1" w:styleId="35">
    <w:name w:val="xl1212"/>
    <w:basedOn w:val="1"/>
    <w:qFormat/>
    <w:uiPriority w:val="0"/>
    <w:pPr>
      <w:widowControl/>
      <w:pBdr>
        <w:bottom w:val="single" w:color="auto" w:sz="4" w:space="0"/>
      </w:pBdr>
      <w:shd w:val="clear" w:color="000000" w:fill="FFFFFF"/>
      <w:spacing w:before="100" w:beforeAutospacing="1" w:after="100" w:afterAutospacing="1"/>
      <w:jc w:val="left"/>
    </w:pPr>
    <w:rPr>
      <w:rFonts w:ascii="黑体" w:hAnsi="黑体" w:eastAsia="黑体" w:cs="宋体"/>
      <w:color w:val="000000"/>
      <w:kern w:val="0"/>
      <w:sz w:val="20"/>
      <w:szCs w:val="20"/>
    </w:rPr>
  </w:style>
  <w:style w:type="paragraph" w:customStyle="1" w:styleId="36">
    <w:name w:val="xl12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0"/>
      <w:szCs w:val="20"/>
    </w:rPr>
  </w:style>
  <w:style w:type="paragraph" w:customStyle="1" w:styleId="37">
    <w:name w:val="xl12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0"/>
      <w:szCs w:val="20"/>
    </w:rPr>
  </w:style>
  <w:style w:type="paragraph" w:customStyle="1" w:styleId="38">
    <w:name w:val="xl12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12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0">
    <w:name w:val="xl121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1">
    <w:name w:val="xl12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2">
    <w:name w:val="xl12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3">
    <w:name w:val="xl12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4">
    <w:name w:val="xl12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5">
    <w:name w:val="xl1222"/>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6">
    <w:name w:val="xl12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7">
    <w:name w:val="xl12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8">
    <w:name w:val="xl122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9">
    <w:name w:val="xl1226"/>
    <w:basedOn w:val="1"/>
    <w:qFormat/>
    <w:uiPriority w:val="0"/>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50">
    <w:name w:val="xl12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
    <w:name w:val="xl1228"/>
    <w:basedOn w:val="1"/>
    <w:qFormat/>
    <w:uiPriority w:val="0"/>
    <w:pPr>
      <w:widowControl/>
      <w:pBdr>
        <w:top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2">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3">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font1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5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6">
    <w:name w:val="xl122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7">
    <w:name w:val="xl123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8">
    <w:name w:val="xl12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9">
    <w:name w:val="xl12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0">
    <w:name w:val="xl12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
    <w:name w:val="xl12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2">
    <w:name w:val="xl123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3">
    <w:name w:val="xl12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4">
    <w:name w:val="xl12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5">
    <w:name w:val="xl123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
    <w:name w:val="xl12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67">
    <w:name w:val="xl12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
    <w:name w:val="xl12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9">
    <w:name w:val="xl1242"/>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70">
    <w:name w:val="xl12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1">
    <w:name w:val="xl12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2">
    <w:name w:val="xl1245"/>
    <w:basedOn w:val="1"/>
    <w:qFormat/>
    <w:uiPriority w:val="0"/>
    <w:pPr>
      <w:widowControl/>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3">
    <w:name w:val="xl12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
    <w:name w:val="xl1247"/>
    <w:basedOn w:val="1"/>
    <w:qFormat/>
    <w:uiPriority w:val="0"/>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75">
    <w:name w:val="xl12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6">
    <w:name w:val="xl12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7">
    <w:name w:val="xl12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
    <w:name w:val="xl12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9">
    <w:name w:val="xl12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0">
    <w:name w:val="xl12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1">
    <w:name w:val="xl12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
    <w:name w:val="xl125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3">
    <w:name w:val="xl125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8"/>
      <w:szCs w:val="18"/>
    </w:rPr>
  </w:style>
  <w:style w:type="paragraph" w:customStyle="1" w:styleId="84">
    <w:name w:val="xl12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5">
    <w:name w:val="xl12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6">
    <w:name w:val="xl12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7">
    <w:name w:val="xl1260"/>
    <w:basedOn w:val="1"/>
    <w:qFormat/>
    <w:uiPriority w:val="0"/>
    <w:pPr>
      <w:widowControl/>
      <w:pBdr>
        <w:top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8">
    <w:name w:val="xl1261"/>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89">
    <w:name w:val="xl1262"/>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0">
    <w:name w:val="xl1263"/>
    <w:basedOn w:val="1"/>
    <w:qFormat/>
    <w:uiPriority w:val="0"/>
    <w:pPr>
      <w:widowControl/>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1">
    <w:name w:val="xl1264"/>
    <w:basedOn w:val="1"/>
    <w:qFormat/>
    <w:uiPriority w:val="0"/>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92">
    <w:name w:val="xl1265"/>
    <w:basedOn w:val="1"/>
    <w:qFormat/>
    <w:uiPriority w:val="0"/>
    <w:pPr>
      <w:widowControl/>
      <w:shd w:val="clear" w:color="000000" w:fill="FFFFFF"/>
      <w:spacing w:before="100" w:beforeAutospacing="1" w:after="100" w:afterAutospacing="1"/>
      <w:jc w:val="center"/>
    </w:pPr>
    <w:rPr>
      <w:rFonts w:ascii="宋体" w:hAnsi="宋体" w:cs="宋体"/>
      <w:kern w:val="0"/>
      <w:sz w:val="18"/>
      <w:szCs w:val="18"/>
    </w:rPr>
  </w:style>
  <w:style w:type="paragraph" w:customStyle="1" w:styleId="93">
    <w:name w:val="xl1266"/>
    <w:basedOn w:val="1"/>
    <w:qFormat/>
    <w:uiPriority w:val="0"/>
    <w:pPr>
      <w:widowControl/>
      <w:shd w:val="clear" w:color="000000" w:fill="FFFFFF"/>
      <w:spacing w:before="100" w:beforeAutospacing="1" w:after="100" w:afterAutospacing="1"/>
      <w:jc w:val="left"/>
    </w:pPr>
    <w:rPr>
      <w:rFonts w:ascii="宋体" w:hAnsi="宋体" w:cs="宋体"/>
      <w:b/>
      <w:bCs/>
      <w:kern w:val="0"/>
      <w:sz w:val="18"/>
      <w:szCs w:val="18"/>
    </w:rPr>
  </w:style>
  <w:style w:type="paragraph" w:styleId="94">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076E0-7859-45C0-8993-B6ECDD4820B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1110</Words>
  <Characters>6329</Characters>
  <Lines>52</Lines>
  <Paragraphs>14</Paragraphs>
  <TotalTime>4498</TotalTime>
  <ScaleCrop>false</ScaleCrop>
  <LinksUpToDate>false</LinksUpToDate>
  <CharactersWithSpaces>7425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2013-08-30T03:01:00Z</dcterms:created>
  <dc:creator>Sky123.Org</dc:creator>
  <cp:lastModifiedBy>xiehao</cp:lastModifiedBy>
  <cp:lastPrinted>2019-12-05T08:58:00Z</cp:lastPrinted>
  <dcterms:modified xsi:type="dcterms:W3CDTF">2020-11-24T01:50:14Z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