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方正仿宋_GBK" w:hAnsi="方正仿宋_GBK" w:eastAsia="方正仿宋_GBK" w:cs="方正仿宋_GBK"/>
          <w:color w:val="auto"/>
          <w:kern w:val="0"/>
          <w:sz w:val="24"/>
          <w:highlight w:val="none"/>
          <w:lang w:val="en-US" w:eastAsia="zh-CN"/>
        </w:rPr>
      </w:pPr>
      <w:r>
        <w:rPr>
          <w:rFonts w:hint="eastAsia" w:ascii="方正仿宋_GBK" w:hAnsi="方正仿宋_GBK" w:eastAsia="方正仿宋_GBK" w:cs="方正仿宋_GBK"/>
          <w:color w:val="auto"/>
          <w:sz w:val="24"/>
          <w:highlight w:val="none"/>
        </w:rPr>
        <w:t>编号：</w:t>
      </w:r>
      <w:r>
        <w:rPr>
          <w:rFonts w:hint="eastAsia" w:ascii="方正仿宋_GBK" w:hAnsi="方正仿宋_GBK" w:eastAsia="方正仿宋_GBK" w:cs="方正仿宋_GBK"/>
          <w:color w:val="auto"/>
          <w:sz w:val="24"/>
          <w:highlight w:val="none"/>
          <w:lang w:val="en-US" w:eastAsia="zh-CN"/>
        </w:rPr>
        <w:t>9号线</w:t>
      </w:r>
      <w:r>
        <w:rPr>
          <w:rFonts w:hint="eastAsia" w:ascii="方正仿宋_GBK" w:hAnsi="方正仿宋_GBK" w:eastAsia="方正仿宋_GBK" w:cs="方正仿宋_GBK"/>
          <w:color w:val="auto"/>
          <w:sz w:val="24"/>
          <w:highlight w:val="none"/>
        </w:rPr>
        <w:t>二</w:t>
      </w:r>
      <w:r>
        <w:rPr>
          <w:rFonts w:hint="eastAsia" w:ascii="方正仿宋_GBK" w:hAnsi="方正仿宋_GBK" w:eastAsia="方正仿宋_GBK" w:cs="方正仿宋_GBK"/>
          <w:color w:val="auto"/>
          <w:sz w:val="24"/>
          <w:highlight w:val="none"/>
          <w:lang w:val="en-US" w:eastAsia="zh-CN"/>
        </w:rPr>
        <w:t>期</w:t>
      </w:r>
      <w:r>
        <w:rPr>
          <w:rFonts w:hint="eastAsia" w:ascii="方正仿宋_GBK" w:hAnsi="方正仿宋_GBK" w:eastAsia="方正仿宋_GBK" w:cs="方正仿宋_GBK"/>
          <w:color w:val="auto"/>
          <w:sz w:val="24"/>
          <w:highlight w:val="none"/>
        </w:rPr>
        <w:t>-风水电-比选-20</w:t>
      </w:r>
      <w:r>
        <w:rPr>
          <w:rFonts w:hint="eastAsia" w:ascii="方正仿宋_GBK" w:hAnsi="方正仿宋_GBK" w:eastAsia="方正仿宋_GBK" w:cs="方正仿宋_GBK"/>
          <w:color w:val="auto"/>
          <w:sz w:val="24"/>
          <w:highlight w:val="none"/>
          <w:lang w:val="en-US" w:eastAsia="zh-CN"/>
        </w:rPr>
        <w:t>22</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01</w:t>
      </w:r>
      <w:r>
        <w:rPr>
          <w:rFonts w:hint="eastAsia" w:ascii="方正仿宋_GBK" w:hAnsi="方正仿宋_GBK" w:eastAsia="方正仿宋_GBK" w:cs="方正仿宋_GBK"/>
          <w:color w:val="auto"/>
          <w:sz w:val="24"/>
          <w:highlight w:val="none"/>
        </w:rPr>
        <w:t>-</w:t>
      </w:r>
      <w:r>
        <w:rPr>
          <w:rFonts w:hint="eastAsia" w:ascii="方正仿宋_GBK" w:hAnsi="方正仿宋_GBK" w:eastAsia="方正仿宋_GBK" w:cs="方正仿宋_GBK"/>
          <w:color w:val="auto"/>
          <w:sz w:val="24"/>
          <w:highlight w:val="none"/>
          <w:lang w:val="en-US" w:eastAsia="zh-CN"/>
        </w:rPr>
        <w:t>双面彩钢复合风管</w:t>
      </w: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spacing w:line="360" w:lineRule="auto"/>
        <w:jc w:val="center"/>
        <w:rPr>
          <w:rFonts w:hint="eastAsia" w:ascii="方正仿宋_GBK" w:hAnsi="方正仿宋_GBK" w:eastAsia="方正仿宋_GBK" w:cs="方正仿宋_GBK"/>
          <w:color w:val="auto"/>
          <w:spacing w:val="24"/>
          <w:w w:val="80"/>
          <w:sz w:val="44"/>
          <w:szCs w:val="44"/>
          <w:highlight w:val="none"/>
        </w:rPr>
      </w:pPr>
      <w:r>
        <w:rPr>
          <w:rFonts w:hint="eastAsia" w:ascii="方正仿宋_GBK" w:hAnsi="方正仿宋_GBK" w:eastAsia="方正仿宋_GBK" w:cs="方正仿宋_GBK"/>
          <w:b/>
          <w:color w:val="auto"/>
          <w:sz w:val="36"/>
          <w:szCs w:val="36"/>
          <w:highlight w:val="none"/>
        </w:rPr>
        <w:t>项目名称：重庆轨道交通</w:t>
      </w:r>
      <w:r>
        <w:rPr>
          <w:rFonts w:hint="eastAsia" w:ascii="方正仿宋_GBK" w:hAnsi="方正仿宋_GBK" w:eastAsia="方正仿宋_GBK" w:cs="方正仿宋_GBK"/>
          <w:b/>
          <w:color w:val="auto"/>
          <w:sz w:val="36"/>
          <w:szCs w:val="36"/>
          <w:highlight w:val="none"/>
          <w:lang w:val="en-US" w:eastAsia="zh-CN"/>
        </w:rPr>
        <w:t>9</w:t>
      </w:r>
      <w:r>
        <w:rPr>
          <w:rFonts w:hint="eastAsia" w:ascii="方正仿宋_GBK" w:hAnsi="方正仿宋_GBK" w:eastAsia="方正仿宋_GBK" w:cs="方正仿宋_GBK"/>
          <w:b/>
          <w:color w:val="auto"/>
          <w:sz w:val="36"/>
          <w:szCs w:val="36"/>
          <w:highlight w:val="none"/>
        </w:rPr>
        <w:t>号线二期工程（兴科大道～花石沟）风水电系统</w:t>
      </w:r>
      <w:r>
        <w:rPr>
          <w:rFonts w:hint="eastAsia" w:ascii="方正仿宋_GBK" w:hAnsi="方正仿宋_GBK" w:eastAsia="方正仿宋_GBK" w:cs="方正仿宋_GBK"/>
          <w:b/>
          <w:color w:val="auto"/>
          <w:sz w:val="36"/>
          <w:szCs w:val="36"/>
          <w:highlight w:val="none"/>
          <w:lang w:val="en-US" w:eastAsia="zh-CN"/>
        </w:rPr>
        <w:t>双面彩钢复合风管</w:t>
      </w:r>
      <w:r>
        <w:rPr>
          <w:rFonts w:hint="eastAsia" w:ascii="方正仿宋_GBK" w:hAnsi="方正仿宋_GBK" w:eastAsia="方正仿宋_GBK" w:cs="方正仿宋_GBK"/>
          <w:b/>
          <w:color w:val="auto"/>
          <w:sz w:val="36"/>
          <w:szCs w:val="36"/>
          <w:highlight w:val="none"/>
        </w:rPr>
        <w:t>采购</w:t>
      </w:r>
    </w:p>
    <w:p>
      <w:pPr>
        <w:autoSpaceDE w:val="0"/>
        <w:autoSpaceDN w:val="0"/>
        <w:adjustRightInd w:val="0"/>
        <w:snapToGrid w:val="0"/>
        <w:spacing w:line="360" w:lineRule="auto"/>
        <w:jc w:val="both"/>
        <w:rPr>
          <w:rFonts w:hint="eastAsia" w:ascii="方正仿宋_GBK" w:hAnsi="方正仿宋_GBK" w:eastAsia="方正仿宋_GBK" w:cs="方正仿宋_GBK"/>
          <w:b/>
          <w:bCs/>
          <w:color w:val="auto"/>
          <w:spacing w:val="24"/>
          <w:w w:val="80"/>
          <w:sz w:val="72"/>
          <w:szCs w:val="72"/>
          <w:highlight w:val="none"/>
        </w:rPr>
      </w:pPr>
    </w:p>
    <w:p>
      <w:pPr>
        <w:autoSpaceDE w:val="0"/>
        <w:autoSpaceDN w:val="0"/>
        <w:adjustRightInd w:val="0"/>
        <w:snapToGrid w:val="0"/>
        <w:spacing w:line="360" w:lineRule="auto"/>
        <w:jc w:val="center"/>
        <w:rPr>
          <w:rFonts w:hint="eastAsia" w:ascii="方正仿宋_GBK" w:hAnsi="方正仿宋_GBK" w:eastAsia="方正仿宋_GBK" w:cs="方正仿宋_GBK"/>
          <w:b/>
          <w:bCs/>
          <w:color w:val="auto"/>
          <w:spacing w:val="24"/>
          <w:w w:val="80"/>
          <w:sz w:val="72"/>
          <w:szCs w:val="72"/>
          <w:highlight w:val="none"/>
        </w:rPr>
      </w:pPr>
      <w:r>
        <w:rPr>
          <w:rFonts w:hint="eastAsia" w:ascii="方正仿宋_GBK" w:hAnsi="方正仿宋_GBK" w:eastAsia="方正仿宋_GBK" w:cs="方正仿宋_GBK"/>
          <w:b/>
          <w:bCs/>
          <w:color w:val="auto"/>
          <w:spacing w:val="24"/>
          <w:w w:val="80"/>
          <w:sz w:val="72"/>
          <w:szCs w:val="72"/>
          <w:highlight w:val="none"/>
        </w:rPr>
        <w:t>比 选</w:t>
      </w:r>
      <w:r>
        <w:rPr>
          <w:rFonts w:hint="eastAsia" w:ascii="方正仿宋_GBK" w:hAnsi="方正仿宋_GBK" w:eastAsia="方正仿宋_GBK" w:cs="方正仿宋_GBK"/>
          <w:b/>
          <w:bCs/>
          <w:color w:val="auto"/>
          <w:spacing w:val="24"/>
          <w:w w:val="80"/>
          <w:sz w:val="72"/>
          <w:szCs w:val="72"/>
          <w:highlight w:val="none"/>
          <w:lang w:val="en-US" w:eastAsia="zh-CN"/>
        </w:rPr>
        <w:t xml:space="preserve"> </w:t>
      </w:r>
      <w:r>
        <w:rPr>
          <w:rFonts w:hint="eastAsia" w:ascii="方正仿宋_GBK" w:hAnsi="方正仿宋_GBK" w:eastAsia="方正仿宋_GBK" w:cs="方正仿宋_GBK"/>
          <w:b/>
          <w:bCs/>
          <w:color w:val="auto"/>
          <w:spacing w:val="24"/>
          <w:w w:val="80"/>
          <w:sz w:val="72"/>
          <w:szCs w:val="72"/>
          <w:highlight w:val="none"/>
        </w:rPr>
        <w:t>文 件</w:t>
      </w:r>
    </w:p>
    <w:p>
      <w:pPr>
        <w:autoSpaceDE w:val="0"/>
        <w:autoSpaceDN w:val="0"/>
        <w:adjustRightInd w:val="0"/>
        <w:snapToGrid w:val="0"/>
        <w:spacing w:line="360" w:lineRule="auto"/>
        <w:jc w:val="center"/>
        <w:rPr>
          <w:rFonts w:hint="eastAsia" w:ascii="方正仿宋_GBK" w:hAnsi="方正仿宋_GBK" w:eastAsia="方正仿宋_GBK" w:cs="方正仿宋_GBK"/>
          <w:b/>
          <w:bCs/>
          <w:color w:val="auto"/>
          <w:spacing w:val="24"/>
          <w:w w:val="80"/>
          <w:sz w:val="44"/>
          <w:szCs w:val="44"/>
          <w:highlight w:val="none"/>
        </w:rPr>
      </w:pPr>
    </w:p>
    <w:p>
      <w:pPr>
        <w:spacing w:line="360" w:lineRule="auto"/>
        <w:jc w:val="center"/>
        <w:rPr>
          <w:rFonts w:hint="eastAsia" w:ascii="方正仿宋_GBK" w:hAnsi="方正仿宋_GBK" w:eastAsia="方正仿宋_GBK" w:cs="方正仿宋_GBK"/>
          <w:b/>
          <w:bCs/>
          <w:color w:val="000000"/>
          <w:sz w:val="44"/>
          <w:szCs w:val="44"/>
          <w:highlight w:val="none"/>
        </w:rPr>
      </w:pPr>
    </w:p>
    <w:p>
      <w:pPr>
        <w:spacing w:line="360" w:lineRule="auto"/>
        <w:jc w:val="center"/>
        <w:rPr>
          <w:rFonts w:hint="eastAsia" w:ascii="方正仿宋_GBK" w:hAnsi="方正仿宋_GBK" w:eastAsia="方正仿宋_GBK" w:cs="方正仿宋_GBK"/>
          <w:b/>
          <w:bCs/>
          <w:color w:val="000000"/>
          <w:sz w:val="44"/>
          <w:szCs w:val="44"/>
          <w:highlight w:val="none"/>
        </w:rPr>
      </w:pPr>
    </w:p>
    <w:p>
      <w:pPr>
        <w:spacing w:line="360" w:lineRule="auto"/>
        <w:jc w:val="center"/>
        <w:rPr>
          <w:rFonts w:hint="eastAsia" w:ascii="方正仿宋_GBK" w:hAnsi="方正仿宋_GBK" w:eastAsia="方正仿宋_GBK" w:cs="方正仿宋_GBK"/>
          <w:b/>
          <w:bCs/>
          <w:color w:val="000000"/>
          <w:w w:val="150"/>
          <w:sz w:val="36"/>
          <w:szCs w:val="36"/>
          <w:highlight w:val="none"/>
        </w:rPr>
      </w:pPr>
      <w:r>
        <w:rPr>
          <w:rFonts w:hint="eastAsia" w:ascii="方正仿宋_GBK" w:hAnsi="方正仿宋_GBK" w:eastAsia="方正仿宋_GBK" w:cs="方正仿宋_GBK"/>
          <w:b/>
          <w:bCs/>
          <w:color w:val="auto"/>
          <w:sz w:val="36"/>
          <w:szCs w:val="36"/>
          <w:highlight w:val="none"/>
          <w:lang w:val="en-US" w:eastAsia="zh-CN"/>
        </w:rPr>
        <w:t>比选</w:t>
      </w:r>
      <w:r>
        <w:rPr>
          <w:rFonts w:hint="eastAsia" w:ascii="方正仿宋_GBK" w:hAnsi="方正仿宋_GBK" w:eastAsia="方正仿宋_GBK" w:cs="方正仿宋_GBK"/>
          <w:b/>
          <w:bCs/>
          <w:color w:val="auto"/>
          <w:sz w:val="36"/>
          <w:szCs w:val="36"/>
          <w:highlight w:val="none"/>
        </w:rPr>
        <w:t>人：重庆机电控股集团机电工程技术有限公司</w:t>
      </w:r>
    </w:p>
    <w:p>
      <w:pPr>
        <w:spacing w:line="360" w:lineRule="auto"/>
        <w:jc w:val="center"/>
        <w:rPr>
          <w:rFonts w:hint="eastAsia" w:ascii="方正仿宋_GBK" w:hAnsi="方正仿宋_GBK" w:eastAsia="方正仿宋_GBK" w:cs="方正仿宋_GBK"/>
          <w:color w:val="000000"/>
          <w:kern w:val="0"/>
          <w:sz w:val="36"/>
          <w:szCs w:val="36"/>
          <w:highlight w:val="none"/>
        </w:rPr>
      </w:pPr>
    </w:p>
    <w:p>
      <w:pPr>
        <w:spacing w:line="360" w:lineRule="auto"/>
        <w:jc w:val="center"/>
        <w:rPr>
          <w:rFonts w:hint="eastAsia" w:ascii="方正仿宋_GBK" w:hAnsi="方正仿宋_GBK" w:eastAsia="方正仿宋_GBK" w:cs="方正仿宋_GBK"/>
          <w:b/>
          <w:bCs/>
          <w:color w:val="000000"/>
          <w:kern w:val="0"/>
          <w:sz w:val="36"/>
          <w:szCs w:val="36"/>
          <w:highlight w:val="none"/>
        </w:rPr>
      </w:pPr>
      <w:r>
        <w:rPr>
          <w:rFonts w:hint="eastAsia" w:ascii="方正仿宋_GBK" w:hAnsi="方正仿宋_GBK" w:eastAsia="方正仿宋_GBK" w:cs="方正仿宋_GBK"/>
          <w:b/>
          <w:bCs/>
          <w:color w:val="000000"/>
          <w:kern w:val="0"/>
          <w:sz w:val="36"/>
          <w:szCs w:val="36"/>
          <w:highlight w:val="none"/>
        </w:rPr>
        <w:t>二○</w:t>
      </w:r>
      <w:r>
        <w:rPr>
          <w:rFonts w:hint="eastAsia" w:ascii="方正仿宋_GBK" w:hAnsi="方正仿宋_GBK" w:eastAsia="方正仿宋_GBK" w:cs="方正仿宋_GBK"/>
          <w:b/>
          <w:bCs/>
          <w:color w:val="000000"/>
          <w:kern w:val="0"/>
          <w:sz w:val="36"/>
          <w:szCs w:val="36"/>
          <w:highlight w:val="none"/>
          <w:lang w:eastAsia="zh-CN"/>
        </w:rPr>
        <w:t>二</w:t>
      </w:r>
      <w:r>
        <w:rPr>
          <w:rFonts w:hint="eastAsia" w:ascii="方正仿宋_GBK" w:hAnsi="方正仿宋_GBK" w:eastAsia="方正仿宋_GBK" w:cs="方正仿宋_GBK"/>
          <w:b/>
          <w:bCs/>
          <w:color w:val="000000"/>
          <w:kern w:val="0"/>
          <w:sz w:val="36"/>
          <w:szCs w:val="36"/>
          <w:highlight w:val="none"/>
          <w:lang w:val="en-US" w:eastAsia="zh-CN"/>
        </w:rPr>
        <w:t>二</w:t>
      </w:r>
      <w:r>
        <w:rPr>
          <w:rFonts w:hint="eastAsia" w:ascii="方正仿宋_GBK" w:hAnsi="方正仿宋_GBK" w:eastAsia="方正仿宋_GBK" w:cs="方正仿宋_GBK"/>
          <w:b/>
          <w:bCs/>
          <w:color w:val="000000"/>
          <w:kern w:val="0"/>
          <w:sz w:val="36"/>
          <w:szCs w:val="36"/>
          <w:highlight w:val="none"/>
        </w:rPr>
        <w:t>年</w:t>
      </w:r>
      <w:r>
        <w:rPr>
          <w:rFonts w:hint="eastAsia" w:ascii="方正仿宋_GBK" w:hAnsi="方正仿宋_GBK" w:eastAsia="方正仿宋_GBK" w:cs="方正仿宋_GBK"/>
          <w:b/>
          <w:bCs/>
          <w:color w:val="000000"/>
          <w:kern w:val="0"/>
          <w:sz w:val="36"/>
          <w:szCs w:val="36"/>
          <w:highlight w:val="none"/>
          <w:lang w:val="en-US" w:eastAsia="zh-CN"/>
        </w:rPr>
        <w:t>二</w:t>
      </w:r>
      <w:r>
        <w:rPr>
          <w:rFonts w:hint="eastAsia" w:ascii="方正仿宋_GBK" w:hAnsi="方正仿宋_GBK" w:eastAsia="方正仿宋_GBK" w:cs="方正仿宋_GBK"/>
          <w:b/>
          <w:bCs/>
          <w:color w:val="000000"/>
          <w:kern w:val="0"/>
          <w:sz w:val="36"/>
          <w:szCs w:val="36"/>
          <w:highlight w:val="none"/>
        </w:rPr>
        <w:t>月</w:t>
      </w:r>
    </w:p>
    <w:p>
      <w:pPr>
        <w:autoSpaceDE w:val="0"/>
        <w:autoSpaceDN w:val="0"/>
        <w:adjustRightInd w:val="0"/>
        <w:snapToGrid w:val="0"/>
        <w:spacing w:line="360" w:lineRule="auto"/>
        <w:jc w:val="center"/>
        <w:rPr>
          <w:rFonts w:hint="eastAsia" w:ascii="方正仿宋_GBK" w:hAnsi="方正仿宋_GBK" w:eastAsia="方正仿宋_GBK" w:cs="方正仿宋_GBK"/>
          <w:b/>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8"/>
          <w:szCs w:val="28"/>
          <w:highlight w:val="none"/>
        </w:rPr>
      </w:pPr>
    </w:p>
    <w:p>
      <w:pPr>
        <w:spacing w:line="360" w:lineRule="auto"/>
        <w:jc w:val="center"/>
        <w:rPr>
          <w:rFonts w:hint="eastAsia" w:ascii="方正仿宋_GBK" w:hAnsi="方正仿宋_GBK" w:eastAsia="方正仿宋_GBK" w:cs="方正仿宋_GBK"/>
          <w:b/>
          <w:color w:val="auto"/>
          <w:kern w:val="0"/>
          <w:position w:val="-2"/>
          <w:sz w:val="28"/>
          <w:szCs w:val="28"/>
          <w:highlight w:val="none"/>
        </w:rPr>
        <w:sectPr>
          <w:headerReference r:id="rId4" w:type="first"/>
          <w:headerReference r:id="rId3" w:type="default"/>
          <w:footerReference r:id="rId5" w:type="default"/>
          <w:pgSz w:w="11906" w:h="16838"/>
          <w:pgMar w:top="1021" w:right="1466" w:bottom="623" w:left="1620" w:header="851" w:footer="992" w:gutter="0"/>
          <w:pgNumType w:fmt="decimal"/>
          <w:cols w:space="425" w:num="1"/>
          <w:titlePg/>
          <w:docGrid w:type="lines" w:linePitch="312" w:charSpace="0"/>
        </w:sectPr>
      </w:pPr>
    </w:p>
    <w:p>
      <w:pPr>
        <w:spacing w:line="360" w:lineRule="auto"/>
        <w:jc w:val="center"/>
        <w:rPr>
          <w:rFonts w:hint="eastAsia" w:ascii="方正仿宋_GBK" w:hAnsi="方正仿宋_GBK" w:eastAsia="方正仿宋_GBK" w:cs="方正仿宋_GBK"/>
          <w:b/>
          <w:color w:val="auto"/>
          <w:kern w:val="0"/>
          <w:position w:val="-2"/>
          <w:sz w:val="28"/>
          <w:szCs w:val="28"/>
          <w:highlight w:val="none"/>
        </w:rPr>
      </w:pPr>
    </w:p>
    <w:p>
      <w:pPr>
        <w:spacing w:line="360" w:lineRule="auto"/>
        <w:jc w:val="center"/>
        <w:rPr>
          <w:rFonts w:hint="eastAsia" w:ascii="方正仿宋_GBK" w:hAnsi="方正仿宋_GBK" w:eastAsia="方正仿宋_GBK" w:cs="方正仿宋_GBK"/>
          <w:b/>
          <w:color w:val="auto"/>
          <w:spacing w:val="1"/>
          <w:kern w:val="0"/>
          <w:position w:val="-2"/>
          <w:sz w:val="40"/>
          <w:szCs w:val="40"/>
          <w:highlight w:val="none"/>
        </w:rPr>
      </w:pPr>
      <w:r>
        <w:rPr>
          <w:rFonts w:hint="eastAsia" w:ascii="方正仿宋_GBK" w:hAnsi="方正仿宋_GBK" w:eastAsia="方正仿宋_GBK" w:cs="方正仿宋_GBK"/>
          <w:b/>
          <w:color w:val="auto"/>
          <w:kern w:val="0"/>
          <w:position w:val="-2"/>
          <w:sz w:val="40"/>
          <w:szCs w:val="40"/>
          <w:highlight w:val="none"/>
        </w:rPr>
        <w:t xml:space="preserve">目   </w:t>
      </w:r>
      <w:r>
        <w:rPr>
          <w:rFonts w:hint="eastAsia" w:ascii="方正仿宋_GBK" w:hAnsi="方正仿宋_GBK" w:eastAsia="方正仿宋_GBK" w:cs="方正仿宋_GBK"/>
          <w:b/>
          <w:color w:val="auto"/>
          <w:spacing w:val="1"/>
          <w:kern w:val="0"/>
          <w:position w:val="-2"/>
          <w:sz w:val="40"/>
          <w:szCs w:val="40"/>
          <w:highlight w:val="none"/>
        </w:rPr>
        <w:t>录</w:t>
      </w:r>
    </w:p>
    <w:p>
      <w:pPr>
        <w:spacing w:line="360" w:lineRule="auto"/>
        <w:jc w:val="center"/>
        <w:rPr>
          <w:rFonts w:hint="eastAsia" w:ascii="方正仿宋_GBK" w:hAnsi="方正仿宋_GBK" w:eastAsia="方正仿宋_GBK" w:cs="方正仿宋_GBK"/>
          <w:b/>
          <w:color w:val="auto"/>
          <w:spacing w:val="1"/>
          <w:kern w:val="0"/>
          <w:position w:val="-2"/>
          <w:sz w:val="28"/>
          <w:szCs w:val="28"/>
          <w:highlight w:val="none"/>
        </w:rPr>
      </w:pP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b/>
          <w:color w:val="auto"/>
          <w:spacing w:val="1"/>
          <w:kern w:val="0"/>
          <w:position w:val="-2"/>
          <w:sz w:val="13"/>
          <w:szCs w:val="13"/>
          <w:highlight w:val="none"/>
        </w:rPr>
        <w:fldChar w:fldCharType="begin"/>
      </w:r>
      <w:r>
        <w:rPr>
          <w:rFonts w:hint="eastAsia" w:ascii="方正仿宋_GBK" w:hAnsi="方正仿宋_GBK" w:eastAsia="方正仿宋_GBK" w:cs="方正仿宋_GBK"/>
          <w:b/>
          <w:color w:val="auto"/>
          <w:spacing w:val="1"/>
          <w:kern w:val="0"/>
          <w:position w:val="-2"/>
          <w:sz w:val="13"/>
          <w:szCs w:val="13"/>
          <w:highlight w:val="none"/>
        </w:rPr>
        <w:instrText xml:space="preserve">TOC \o "1-2" \h \u </w:instrText>
      </w:r>
      <w:r>
        <w:rPr>
          <w:rFonts w:hint="eastAsia" w:ascii="方正仿宋_GBK" w:hAnsi="方正仿宋_GBK" w:eastAsia="方正仿宋_GBK" w:cs="方正仿宋_GBK"/>
          <w:b/>
          <w:color w:val="auto"/>
          <w:spacing w:val="1"/>
          <w:kern w:val="0"/>
          <w:position w:val="-2"/>
          <w:sz w:val="13"/>
          <w:szCs w:val="13"/>
          <w:highlight w:val="none"/>
        </w:rPr>
        <w:fldChar w:fldCharType="separate"/>
      </w: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_Toc25255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bCs/>
          <w:kern w:val="44"/>
          <w:sz w:val="21"/>
          <w:szCs w:val="24"/>
          <w:highlight w:val="none"/>
        </w:rPr>
        <w:t>比选</w:t>
      </w:r>
      <w:r>
        <w:rPr>
          <w:rFonts w:hint="eastAsia" w:ascii="方正仿宋_GBK" w:hAnsi="方正仿宋_GBK" w:eastAsia="方正仿宋_GBK" w:cs="方正仿宋_GBK"/>
          <w:bCs/>
          <w:kern w:val="44"/>
          <w:sz w:val="21"/>
          <w:szCs w:val="24"/>
          <w:highlight w:val="none"/>
          <w:lang w:val="en-US" w:eastAsia="zh-CN"/>
        </w:rPr>
        <w:t>公告</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_Toc25255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1</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_Toc28984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highlight w:val="none"/>
        </w:rPr>
        <w:t xml:space="preserve">第一部分 </w:t>
      </w:r>
      <w:r>
        <w:rPr>
          <w:rFonts w:hint="eastAsia" w:ascii="方正仿宋_GBK" w:hAnsi="方正仿宋_GBK" w:eastAsia="方正仿宋_GBK" w:cs="方正仿宋_GBK"/>
          <w:snapToGrid w:val="0"/>
          <w:kern w:val="0"/>
          <w:sz w:val="21"/>
          <w:szCs w:val="22"/>
          <w:highlight w:val="none"/>
          <w:lang w:eastAsia="zh-CN"/>
        </w:rPr>
        <w:t>参选人</w:t>
      </w:r>
      <w:r>
        <w:rPr>
          <w:rFonts w:hint="eastAsia" w:ascii="方正仿宋_GBK" w:hAnsi="方正仿宋_GBK" w:eastAsia="方正仿宋_GBK" w:cs="方正仿宋_GBK"/>
          <w:snapToGrid w:val="0"/>
          <w:kern w:val="0"/>
          <w:sz w:val="21"/>
          <w:szCs w:val="22"/>
          <w:highlight w:val="none"/>
        </w:rPr>
        <w:t>须知</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_Toc28984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4</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_Toc2782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eastAsia="zh-CN"/>
        </w:rPr>
        <w:t>参选人</w:t>
      </w:r>
      <w:r>
        <w:rPr>
          <w:rFonts w:hint="eastAsia" w:ascii="方正仿宋_GBK" w:hAnsi="方正仿宋_GBK" w:eastAsia="方正仿宋_GBK" w:cs="方正仿宋_GBK"/>
          <w:sz w:val="21"/>
          <w:szCs w:val="21"/>
          <w:highlight w:val="none"/>
        </w:rPr>
        <w:t>资格要求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_Toc2782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4</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_Toc11277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2.形式</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_Toc11277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_Toc905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3.比选日程安排</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_Toc905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_Toc31662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4.参选内容</w:t>
      </w:r>
      <w:r>
        <w:rPr>
          <w:rFonts w:hint="eastAsia" w:ascii="方正仿宋_GBK" w:hAnsi="方正仿宋_GBK" w:eastAsia="方正仿宋_GBK" w:cs="方正仿宋_GBK"/>
          <w:sz w:val="21"/>
          <w:szCs w:val="21"/>
          <w:highlight w:val="none"/>
          <w:lang w:val="en-US" w:eastAsia="zh-CN"/>
        </w:rPr>
        <w:t>工程清单</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_Toc31662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_Toc18536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rPr>
        <w:t xml:space="preserve">5. </w:t>
      </w:r>
      <w:r>
        <w:rPr>
          <w:rFonts w:hint="eastAsia" w:ascii="方正仿宋_GBK" w:hAnsi="方正仿宋_GBK" w:eastAsia="方正仿宋_GBK" w:cs="方正仿宋_GBK"/>
          <w:sz w:val="21"/>
          <w:szCs w:val="21"/>
          <w:highlight w:val="none"/>
        </w:rPr>
        <w:t>比选控制价</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_Toc18536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_Toc28654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6.技术要求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_Toc28654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_Toc2225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7.参选有效期</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_Toc2225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_Toc10005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lang w:val="en-US" w:eastAsia="zh-CN"/>
        </w:rPr>
        <w:t>8</w:t>
      </w:r>
      <w:r>
        <w:rPr>
          <w:rFonts w:hint="eastAsia" w:ascii="方正仿宋_GBK" w:hAnsi="方正仿宋_GBK" w:eastAsia="方正仿宋_GBK" w:cs="方正仿宋_GBK"/>
          <w:sz w:val="21"/>
          <w:szCs w:val="21"/>
          <w:highlight w:val="none"/>
        </w:rPr>
        <w:t>.迟交的参选文件</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_Toc10005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_Toc3535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lang w:val="en-US" w:eastAsia="zh-CN"/>
        </w:rPr>
        <w:t>9</w:t>
      </w:r>
      <w:r>
        <w:rPr>
          <w:rFonts w:hint="eastAsia" w:ascii="方正仿宋_GBK" w:hAnsi="方正仿宋_GBK" w:eastAsia="方正仿宋_GBK" w:cs="方正仿宋_GBK"/>
          <w:sz w:val="21"/>
          <w:szCs w:val="21"/>
          <w:highlight w:val="none"/>
        </w:rPr>
        <w:t>.参选文件的符合性审查</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_Toc3535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_Toc24609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0</w:t>
      </w:r>
      <w:r>
        <w:rPr>
          <w:rFonts w:hint="eastAsia" w:ascii="方正仿宋_GBK" w:hAnsi="方正仿宋_GBK" w:eastAsia="方正仿宋_GBK" w:cs="方正仿宋_GBK"/>
          <w:sz w:val="21"/>
          <w:szCs w:val="21"/>
          <w:highlight w:val="none"/>
        </w:rPr>
        <w:t>.评审</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_Toc24609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7</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_Toc12571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1</w:t>
      </w:r>
      <w:r>
        <w:rPr>
          <w:rFonts w:hint="eastAsia" w:ascii="方正仿宋_GBK" w:hAnsi="方正仿宋_GBK" w:eastAsia="方正仿宋_GBK" w:cs="方正仿宋_GBK"/>
          <w:sz w:val="21"/>
          <w:szCs w:val="21"/>
          <w:highlight w:val="none"/>
        </w:rPr>
        <w:t>.合同的授予</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_Toc12571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7</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_Toc5135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w:t>
      </w:r>
      <w:r>
        <w:rPr>
          <w:rFonts w:hint="eastAsia" w:ascii="方正仿宋_GBK" w:hAnsi="方正仿宋_GBK" w:eastAsia="方正仿宋_GBK" w:cs="方正仿宋_GBK"/>
          <w:sz w:val="21"/>
          <w:szCs w:val="21"/>
          <w:highlight w:val="none"/>
          <w:lang w:val="en-US" w:eastAsia="zh-CN"/>
        </w:rPr>
        <w:t>2</w:t>
      </w:r>
      <w:r>
        <w:rPr>
          <w:rFonts w:hint="eastAsia" w:ascii="方正仿宋_GBK" w:hAnsi="方正仿宋_GBK" w:eastAsia="方正仿宋_GBK" w:cs="方正仿宋_GBK"/>
          <w:sz w:val="21"/>
          <w:szCs w:val="21"/>
          <w:highlight w:val="none"/>
        </w:rPr>
        <w:t>.其它</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_Toc5135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8</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_Toc8320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lang w:val="en-US" w:eastAsia="zh-CN"/>
        </w:rPr>
        <w:t xml:space="preserve">第二部分 </w:t>
      </w:r>
      <w:r>
        <w:rPr>
          <w:rFonts w:hint="eastAsia" w:ascii="方正仿宋_GBK" w:hAnsi="方正仿宋_GBK" w:eastAsia="方正仿宋_GBK" w:cs="方正仿宋_GBK"/>
          <w:snapToGrid w:val="0"/>
          <w:kern w:val="0"/>
          <w:sz w:val="21"/>
          <w:szCs w:val="22"/>
          <w:highlight w:val="none"/>
        </w:rPr>
        <w:t>技术</w:t>
      </w:r>
      <w:r>
        <w:rPr>
          <w:rFonts w:hint="eastAsia" w:ascii="方正仿宋_GBK" w:hAnsi="方正仿宋_GBK" w:eastAsia="方正仿宋_GBK" w:cs="方正仿宋_GBK"/>
          <w:snapToGrid w:val="0"/>
          <w:kern w:val="0"/>
          <w:sz w:val="21"/>
          <w:szCs w:val="22"/>
          <w:highlight w:val="none"/>
          <w:lang w:val="en-US" w:eastAsia="zh-CN"/>
        </w:rPr>
        <w:t>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_Toc8320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9</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_Toc30325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highlight w:val="none"/>
        </w:rPr>
        <w:t>第三部分 报价组成</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_Toc30325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21</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_Toc28970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highlight w:val="none"/>
        </w:rPr>
        <w:t>第四部分 参选文件格式</w:t>
      </w:r>
      <w:r>
        <w:rPr>
          <w:rFonts w:hint="eastAsia" w:ascii="方正仿宋_GBK" w:hAnsi="方正仿宋_GBK" w:eastAsia="方正仿宋_GBK" w:cs="方正仿宋_GBK"/>
          <w:snapToGrid w:val="0"/>
          <w:kern w:val="0"/>
          <w:sz w:val="21"/>
          <w:szCs w:val="22"/>
          <w:highlight w:val="none"/>
          <w:lang w:val="en-US" w:eastAsia="zh-CN"/>
        </w:rPr>
        <w:t>和编制要求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_Toc28970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23</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_Toc32763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1.参选文件的语言及计量单位</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_Toc32763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23</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_Toc14506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2.参选货币</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_Toc14506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23</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_Toc31081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3.参选文件</w:t>
      </w:r>
      <w:r>
        <w:rPr>
          <w:rFonts w:hint="eastAsia" w:ascii="方正仿宋_GBK" w:hAnsi="方正仿宋_GBK" w:eastAsia="方正仿宋_GBK" w:cs="方正仿宋_GBK"/>
          <w:sz w:val="21"/>
          <w:szCs w:val="21"/>
          <w:highlight w:val="none"/>
          <w:lang w:val="en-US" w:eastAsia="zh-CN"/>
        </w:rPr>
        <w:t>的编制</w:t>
      </w:r>
      <w:r>
        <w:rPr>
          <w:rFonts w:hint="eastAsia" w:ascii="方正仿宋_GBK" w:hAnsi="方正仿宋_GBK" w:eastAsia="方正仿宋_GBK" w:cs="方正仿宋_GBK"/>
          <w:sz w:val="21"/>
          <w:szCs w:val="21"/>
          <w:highlight w:val="none"/>
        </w:rPr>
        <w:t>要求</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_Toc31081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23</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2"/>
        <w:tabs>
          <w:tab w:val="right" w:leader="dot" w:pos="8820"/>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_Toc26677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lang w:val="en-US" w:eastAsia="zh-CN"/>
        </w:rPr>
        <w:t>4</w:t>
      </w:r>
      <w:r>
        <w:rPr>
          <w:rFonts w:hint="eastAsia" w:ascii="方正仿宋_GBK" w:hAnsi="方正仿宋_GBK" w:eastAsia="方正仿宋_GBK" w:cs="方正仿宋_GBK"/>
          <w:sz w:val="21"/>
          <w:szCs w:val="21"/>
          <w:highlight w:val="none"/>
        </w:rPr>
        <w:t>.参选文件的提交方式、密封及其签署</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_Toc26677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24</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_Toc29803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2"/>
        </w:rPr>
        <w:t xml:space="preserve">第五部分 </w:t>
      </w:r>
      <w:r>
        <w:rPr>
          <w:rFonts w:hint="eastAsia" w:ascii="方正仿宋_GBK" w:hAnsi="方正仿宋_GBK" w:eastAsia="方正仿宋_GBK" w:cs="方正仿宋_GBK"/>
          <w:snapToGrid w:val="0"/>
          <w:kern w:val="0"/>
          <w:sz w:val="21"/>
          <w:szCs w:val="22"/>
          <w:highlight w:val="none"/>
        </w:rPr>
        <w:t>合同主要条款</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_Toc29803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25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_Toc17129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附件一：</w:t>
      </w:r>
      <w:r>
        <w:rPr>
          <w:rFonts w:hint="eastAsia" w:ascii="方正仿宋_GBK" w:hAnsi="方正仿宋_GBK" w:eastAsia="方正仿宋_GBK" w:cs="方正仿宋_GBK"/>
          <w:snapToGrid w:val="0"/>
          <w:kern w:val="0"/>
          <w:sz w:val="21"/>
          <w:szCs w:val="21"/>
          <w:highlight w:val="none"/>
          <w:lang w:val="en-US" w:eastAsia="zh-CN"/>
        </w:rPr>
        <w:t>封面</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_Toc17129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32</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_Toc18238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三</w:t>
      </w:r>
      <w:r>
        <w:rPr>
          <w:rFonts w:hint="eastAsia" w:ascii="方正仿宋_GBK" w:hAnsi="方正仿宋_GBK" w:eastAsia="方正仿宋_GBK" w:cs="方正仿宋_GBK"/>
          <w:snapToGrid w:val="0"/>
          <w:kern w:val="0"/>
          <w:sz w:val="21"/>
          <w:szCs w:val="21"/>
          <w:highlight w:val="none"/>
        </w:rPr>
        <w:t>：</w:t>
      </w:r>
      <w:r>
        <w:rPr>
          <w:rFonts w:hint="eastAsia" w:ascii="方正仿宋_GBK" w:hAnsi="方正仿宋_GBK" w:eastAsia="方正仿宋_GBK" w:cs="方正仿宋_GBK"/>
          <w:snapToGrid w:val="0"/>
          <w:kern w:val="0"/>
          <w:sz w:val="21"/>
          <w:szCs w:val="21"/>
          <w:highlight w:val="none"/>
          <w:lang w:eastAsia="zh-CN"/>
        </w:rPr>
        <w:t>参选人</w:t>
      </w:r>
      <w:r>
        <w:rPr>
          <w:rFonts w:hint="eastAsia" w:ascii="方正仿宋_GBK" w:hAnsi="方正仿宋_GBK" w:eastAsia="方正仿宋_GBK" w:cs="方正仿宋_GBK"/>
          <w:snapToGrid w:val="0"/>
          <w:kern w:val="0"/>
          <w:sz w:val="21"/>
          <w:szCs w:val="21"/>
          <w:highlight w:val="none"/>
        </w:rPr>
        <w:t>报价表</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_Toc18238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34</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_Toc20290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z w:val="21"/>
          <w:szCs w:val="21"/>
          <w:highlight w:val="none"/>
        </w:rPr>
        <w:t>附件</w:t>
      </w:r>
      <w:r>
        <w:rPr>
          <w:rFonts w:hint="eastAsia" w:ascii="方正仿宋_GBK" w:hAnsi="方正仿宋_GBK" w:eastAsia="方正仿宋_GBK" w:cs="方正仿宋_GBK"/>
          <w:sz w:val="21"/>
          <w:szCs w:val="21"/>
          <w:highlight w:val="none"/>
          <w:lang w:val="en-US" w:eastAsia="zh-CN"/>
        </w:rPr>
        <w:t>四</w:t>
      </w:r>
      <w:r>
        <w:rPr>
          <w:rFonts w:hint="eastAsia" w:ascii="方正仿宋_GBK" w:hAnsi="方正仿宋_GBK" w:eastAsia="方正仿宋_GBK" w:cs="方正仿宋_GBK"/>
          <w:sz w:val="21"/>
          <w:szCs w:val="21"/>
          <w:highlight w:val="none"/>
        </w:rPr>
        <w:t>：技术偏离表</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_Toc20290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35</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_Toc2776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五</w:t>
      </w:r>
      <w:r>
        <w:rPr>
          <w:rFonts w:hint="eastAsia" w:ascii="方正仿宋_GBK" w:hAnsi="方正仿宋_GBK" w:eastAsia="方正仿宋_GBK" w:cs="方正仿宋_GBK"/>
          <w:snapToGrid w:val="0"/>
          <w:kern w:val="0"/>
          <w:sz w:val="21"/>
          <w:szCs w:val="21"/>
          <w:highlight w:val="none"/>
        </w:rPr>
        <w:t>：参选承诺函</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_Toc2776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36</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pStyle w:val="21"/>
        <w:tabs>
          <w:tab w:val="right" w:leader="dot" w:pos="8820"/>
          <w:tab w:val="clear" w:pos="630"/>
          <w:tab w:val="clear" w:pos="9277"/>
        </w:tabs>
        <w:rPr>
          <w:rFonts w:hint="eastAsia" w:ascii="方正仿宋_GBK" w:hAnsi="方正仿宋_GBK" w:eastAsia="方正仿宋_GBK" w:cs="方正仿宋_GBK"/>
          <w:sz w:val="21"/>
          <w:szCs w:val="15"/>
        </w:rPr>
      </w:pPr>
      <w:r>
        <w:rPr>
          <w:rFonts w:hint="eastAsia" w:ascii="方正仿宋_GBK" w:hAnsi="方正仿宋_GBK" w:eastAsia="方正仿宋_GBK" w:cs="方正仿宋_GBK"/>
          <w:color w:val="auto"/>
          <w:spacing w:val="1"/>
          <w:kern w:val="0"/>
          <w:position w:val="-2"/>
          <w:sz w:val="21"/>
          <w:szCs w:val="13"/>
          <w:highlight w:val="none"/>
        </w:rPr>
        <w:fldChar w:fldCharType="begin"/>
      </w:r>
      <w:r>
        <w:rPr>
          <w:rFonts w:hint="eastAsia" w:ascii="方正仿宋_GBK" w:hAnsi="方正仿宋_GBK" w:eastAsia="方正仿宋_GBK" w:cs="方正仿宋_GBK"/>
          <w:spacing w:val="1"/>
          <w:kern w:val="0"/>
          <w:position w:val="-2"/>
          <w:sz w:val="21"/>
          <w:szCs w:val="13"/>
          <w:highlight w:val="none"/>
        </w:rPr>
        <w:instrText xml:space="preserve"> HYPERLINK \l _Toc25890 </w:instrText>
      </w:r>
      <w:r>
        <w:rPr>
          <w:rFonts w:hint="eastAsia" w:ascii="方正仿宋_GBK" w:hAnsi="方正仿宋_GBK" w:eastAsia="方正仿宋_GBK" w:cs="方正仿宋_GBK"/>
          <w:spacing w:val="1"/>
          <w:kern w:val="0"/>
          <w:position w:val="-2"/>
          <w:sz w:val="21"/>
          <w:szCs w:val="13"/>
          <w:highlight w:val="none"/>
        </w:rPr>
        <w:fldChar w:fldCharType="separate"/>
      </w:r>
      <w:r>
        <w:rPr>
          <w:rFonts w:hint="eastAsia" w:ascii="方正仿宋_GBK" w:hAnsi="方正仿宋_GBK" w:eastAsia="方正仿宋_GBK" w:cs="方正仿宋_GBK"/>
          <w:snapToGrid w:val="0"/>
          <w:kern w:val="0"/>
          <w:sz w:val="21"/>
          <w:szCs w:val="21"/>
          <w:highlight w:val="none"/>
        </w:rPr>
        <w:t>附件</w:t>
      </w:r>
      <w:r>
        <w:rPr>
          <w:rFonts w:hint="eastAsia" w:ascii="方正仿宋_GBK" w:hAnsi="方正仿宋_GBK" w:eastAsia="方正仿宋_GBK" w:cs="方正仿宋_GBK"/>
          <w:snapToGrid w:val="0"/>
          <w:kern w:val="0"/>
          <w:sz w:val="21"/>
          <w:szCs w:val="21"/>
          <w:highlight w:val="none"/>
          <w:lang w:val="en-US" w:eastAsia="zh-CN"/>
        </w:rPr>
        <w:t>六</w:t>
      </w:r>
      <w:r>
        <w:rPr>
          <w:rFonts w:hint="eastAsia" w:ascii="方正仿宋_GBK" w:hAnsi="方正仿宋_GBK" w:eastAsia="方正仿宋_GBK" w:cs="方正仿宋_GBK"/>
          <w:snapToGrid w:val="0"/>
          <w:kern w:val="0"/>
          <w:sz w:val="21"/>
          <w:szCs w:val="21"/>
          <w:highlight w:val="none"/>
        </w:rPr>
        <w:t>：授权委托书</w:t>
      </w:r>
      <w:r>
        <w:rPr>
          <w:rFonts w:hint="eastAsia" w:ascii="方正仿宋_GBK" w:hAnsi="方正仿宋_GBK" w:eastAsia="方正仿宋_GBK" w:cs="方正仿宋_GBK"/>
          <w:sz w:val="21"/>
          <w:szCs w:val="15"/>
        </w:rPr>
        <w:tab/>
      </w:r>
      <w:r>
        <w:rPr>
          <w:rFonts w:hint="eastAsia" w:ascii="方正仿宋_GBK" w:hAnsi="方正仿宋_GBK" w:eastAsia="方正仿宋_GBK" w:cs="方正仿宋_GBK"/>
          <w:sz w:val="21"/>
          <w:szCs w:val="15"/>
        </w:rPr>
        <w:fldChar w:fldCharType="begin"/>
      </w:r>
      <w:r>
        <w:rPr>
          <w:rFonts w:hint="eastAsia" w:ascii="方正仿宋_GBK" w:hAnsi="方正仿宋_GBK" w:eastAsia="方正仿宋_GBK" w:cs="方正仿宋_GBK"/>
          <w:sz w:val="21"/>
          <w:szCs w:val="15"/>
        </w:rPr>
        <w:instrText xml:space="preserve"> PAGEREF _Toc25890 \h </w:instrText>
      </w:r>
      <w:r>
        <w:rPr>
          <w:rFonts w:hint="eastAsia" w:ascii="方正仿宋_GBK" w:hAnsi="方正仿宋_GBK" w:eastAsia="方正仿宋_GBK" w:cs="方正仿宋_GBK"/>
          <w:sz w:val="21"/>
          <w:szCs w:val="15"/>
        </w:rPr>
        <w:fldChar w:fldCharType="separate"/>
      </w:r>
      <w:r>
        <w:rPr>
          <w:rFonts w:hint="eastAsia" w:ascii="方正仿宋_GBK" w:hAnsi="方正仿宋_GBK" w:eastAsia="方正仿宋_GBK" w:cs="方正仿宋_GBK"/>
          <w:sz w:val="21"/>
          <w:szCs w:val="15"/>
        </w:rPr>
        <w:t>38</w:t>
      </w:r>
      <w:r>
        <w:rPr>
          <w:rFonts w:hint="eastAsia" w:ascii="方正仿宋_GBK" w:hAnsi="方正仿宋_GBK" w:eastAsia="方正仿宋_GBK" w:cs="方正仿宋_GBK"/>
          <w:sz w:val="21"/>
          <w:szCs w:val="15"/>
        </w:rPr>
        <w:fldChar w:fldCharType="end"/>
      </w:r>
      <w:r>
        <w:rPr>
          <w:rFonts w:hint="eastAsia" w:ascii="方正仿宋_GBK" w:hAnsi="方正仿宋_GBK" w:eastAsia="方正仿宋_GBK" w:cs="方正仿宋_GBK"/>
          <w:color w:val="auto"/>
          <w:spacing w:val="1"/>
          <w:kern w:val="0"/>
          <w:position w:val="-2"/>
          <w:sz w:val="21"/>
          <w:szCs w:val="13"/>
          <w:highlight w:val="none"/>
        </w:rPr>
        <w:fldChar w:fldCharType="end"/>
      </w:r>
    </w:p>
    <w:p>
      <w:pPr>
        <w:spacing w:line="360" w:lineRule="auto"/>
        <w:ind w:firstLine="3564" w:firstLineChars="2200"/>
        <w:rPr>
          <w:rFonts w:hint="eastAsia" w:ascii="方正仿宋_GBK" w:hAnsi="方正仿宋_GBK" w:eastAsia="方正仿宋_GBK" w:cs="方正仿宋_GBK"/>
          <w:b/>
          <w:color w:val="auto"/>
          <w:spacing w:val="1"/>
          <w:kern w:val="0"/>
          <w:position w:val="-2"/>
          <w:sz w:val="24"/>
          <w:highlight w:val="none"/>
        </w:rPr>
      </w:pPr>
      <w:r>
        <w:rPr>
          <w:rFonts w:hint="eastAsia" w:ascii="方正仿宋_GBK" w:hAnsi="方正仿宋_GBK" w:eastAsia="方正仿宋_GBK" w:cs="方正仿宋_GBK"/>
          <w:color w:val="auto"/>
          <w:spacing w:val="1"/>
          <w:kern w:val="0"/>
          <w:position w:val="-2"/>
          <w:sz w:val="16"/>
          <w:szCs w:val="13"/>
          <w:highlight w:val="none"/>
        </w:rPr>
        <w:fldChar w:fldCharType="end"/>
      </w:r>
    </w:p>
    <w:p>
      <w:pPr>
        <w:spacing w:line="360" w:lineRule="auto"/>
        <w:ind w:firstLine="6160" w:firstLineChars="2200"/>
        <w:rPr>
          <w:rFonts w:hint="eastAsia" w:ascii="方正仿宋_GBK" w:hAnsi="方正仿宋_GBK" w:eastAsia="方正仿宋_GBK" w:cs="方正仿宋_GBK"/>
          <w:color w:val="auto"/>
          <w:sz w:val="28"/>
          <w:szCs w:val="28"/>
          <w:highlight w:val="none"/>
        </w:rPr>
      </w:pPr>
    </w:p>
    <w:p>
      <w:pPr>
        <w:pStyle w:val="3"/>
        <w:snapToGrid w:val="0"/>
        <w:spacing w:before="0" w:line="360" w:lineRule="auto"/>
        <w:ind w:left="3107" w:hanging="3107"/>
        <w:jc w:val="center"/>
        <w:rPr>
          <w:rFonts w:hint="eastAsia" w:ascii="方正仿宋_GBK" w:hAnsi="方正仿宋_GBK" w:eastAsia="方正仿宋_GBK" w:cs="方正仿宋_GBK"/>
          <w:snapToGrid w:val="0"/>
          <w:color w:val="auto"/>
          <w:kern w:val="0"/>
          <w:sz w:val="28"/>
          <w:szCs w:val="28"/>
          <w:highlight w:val="none"/>
        </w:rPr>
        <w:sectPr>
          <w:footerReference r:id="rId7" w:type="first"/>
          <w:footerReference r:id="rId6" w:type="default"/>
          <w:pgSz w:w="11906" w:h="16838"/>
          <w:pgMar w:top="1021" w:right="1466" w:bottom="623" w:left="1620" w:header="851" w:footer="992" w:gutter="0"/>
          <w:pgNumType w:fmt="decimal" w:start="1"/>
          <w:cols w:space="425" w:num="1"/>
          <w:titlePg/>
          <w:docGrid w:type="lines" w:linePitch="312" w:charSpace="0"/>
        </w:sectPr>
      </w:pPr>
      <w:bookmarkStart w:id="0" w:name="_Toc13728"/>
      <w:bookmarkStart w:id="1" w:name="_Toc9374"/>
    </w:p>
    <w:p>
      <w:pPr>
        <w:keepNext/>
        <w:keepLines/>
        <w:spacing w:before="340" w:after="330" w:line="360" w:lineRule="auto"/>
        <w:jc w:val="center"/>
        <w:outlineLvl w:val="0"/>
        <w:rPr>
          <w:rFonts w:hint="eastAsia" w:ascii="方正仿宋_GBK" w:hAnsi="方正仿宋_GBK" w:eastAsia="方正仿宋_GBK" w:cs="方正仿宋_GBK"/>
          <w:b/>
          <w:bCs/>
          <w:color w:val="000000"/>
          <w:kern w:val="44"/>
          <w:sz w:val="36"/>
          <w:szCs w:val="36"/>
          <w:highlight w:val="none"/>
          <w:lang w:eastAsia="zh-CN"/>
        </w:rPr>
      </w:pPr>
      <w:bookmarkStart w:id="2" w:name="_Toc29782"/>
      <w:bookmarkStart w:id="3" w:name="_Toc21592937"/>
      <w:bookmarkStart w:id="4" w:name="_Toc25255"/>
      <w:r>
        <w:rPr>
          <w:rFonts w:hint="eastAsia" w:ascii="方正仿宋_GBK" w:hAnsi="方正仿宋_GBK" w:eastAsia="方正仿宋_GBK" w:cs="方正仿宋_GBK"/>
          <w:b/>
          <w:bCs/>
          <w:color w:val="000000"/>
          <w:kern w:val="44"/>
          <w:sz w:val="36"/>
          <w:szCs w:val="36"/>
          <w:highlight w:val="none"/>
        </w:rPr>
        <w:t>比选</w:t>
      </w:r>
      <w:bookmarkEnd w:id="2"/>
      <w:bookmarkEnd w:id="3"/>
      <w:r>
        <w:rPr>
          <w:rFonts w:hint="eastAsia" w:ascii="方正仿宋_GBK" w:hAnsi="方正仿宋_GBK" w:eastAsia="方正仿宋_GBK" w:cs="方正仿宋_GBK"/>
          <w:b/>
          <w:bCs/>
          <w:color w:val="000000"/>
          <w:kern w:val="44"/>
          <w:sz w:val="36"/>
          <w:szCs w:val="36"/>
          <w:highlight w:val="none"/>
          <w:lang w:val="en-US" w:eastAsia="zh-CN"/>
        </w:rPr>
        <w:t>公告</w:t>
      </w:r>
      <w:bookmarkEnd w:id="4"/>
    </w:p>
    <w:p>
      <w:pPr>
        <w:rPr>
          <w:rFonts w:hint="eastAsia" w:ascii="方正仿宋_GBK" w:hAnsi="方正仿宋_GBK" w:eastAsia="方正仿宋_GBK" w:cs="方正仿宋_GBK"/>
          <w:color w:val="auto"/>
          <w:sz w:val="28"/>
          <w:szCs w:val="20"/>
          <w:highlight w:val="none"/>
        </w:rPr>
      </w:pP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bCs/>
          <w:color w:val="000000"/>
          <w:sz w:val="28"/>
          <w:szCs w:val="28"/>
          <w:highlight w:val="none"/>
          <w:u w:val="single"/>
          <w:lang w:val="en-US" w:eastAsia="zh-CN"/>
        </w:rPr>
      </w:pPr>
      <w:r>
        <w:rPr>
          <w:rFonts w:hint="eastAsia" w:ascii="方正仿宋_GBK" w:hAnsi="方正仿宋_GBK" w:eastAsia="方正仿宋_GBK" w:cs="方正仿宋_GBK"/>
          <w:bCs/>
          <w:color w:val="000000"/>
          <w:sz w:val="28"/>
          <w:szCs w:val="28"/>
          <w:highlight w:val="none"/>
          <w:u w:val="single"/>
          <w:lang w:val="en-US" w:eastAsia="zh-CN"/>
        </w:rPr>
        <w:t>各潜在参选人：</w:t>
      </w: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bCs/>
          <w:color w:val="000000"/>
          <w:sz w:val="28"/>
          <w:szCs w:val="28"/>
          <w:highlight w:val="none"/>
        </w:rPr>
        <w:t>重庆机电控股集团机电工程技术有限公司现面向社会公开征集</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号线二期工程（兴科大道～花石沟）</w:t>
      </w:r>
      <w:r>
        <w:rPr>
          <w:rFonts w:hint="eastAsia" w:ascii="方正仿宋_GBK" w:hAnsi="方正仿宋_GBK" w:eastAsia="方正仿宋_GBK" w:cs="方正仿宋_GBK"/>
          <w:color w:val="auto"/>
          <w:sz w:val="28"/>
          <w:szCs w:val="28"/>
          <w:highlight w:val="none"/>
        </w:rPr>
        <w:t>风水电系统</w:t>
      </w:r>
      <w:r>
        <w:rPr>
          <w:rFonts w:hint="eastAsia" w:ascii="方正仿宋_GBK" w:hAnsi="方正仿宋_GBK" w:eastAsia="方正仿宋_GBK" w:cs="方正仿宋_GBK"/>
          <w:bCs/>
          <w:color w:val="000000"/>
          <w:sz w:val="28"/>
          <w:szCs w:val="28"/>
          <w:highlight w:val="none"/>
          <w:lang w:val="en-US" w:eastAsia="zh-CN"/>
        </w:rPr>
        <w:t>双面彩钢复合风管</w:t>
      </w:r>
      <w:r>
        <w:rPr>
          <w:rFonts w:hint="eastAsia" w:ascii="方正仿宋_GBK" w:hAnsi="方正仿宋_GBK" w:eastAsia="方正仿宋_GBK" w:cs="方正仿宋_GBK"/>
          <w:bCs/>
          <w:color w:val="000000"/>
          <w:sz w:val="28"/>
          <w:szCs w:val="28"/>
          <w:highlight w:val="none"/>
        </w:rPr>
        <w:t>的合格</w:t>
      </w:r>
      <w:r>
        <w:rPr>
          <w:rFonts w:hint="eastAsia" w:ascii="方正仿宋_GBK" w:hAnsi="方正仿宋_GBK" w:eastAsia="方正仿宋_GBK" w:cs="方正仿宋_GBK"/>
          <w:bCs/>
          <w:color w:val="000000"/>
          <w:sz w:val="28"/>
          <w:szCs w:val="28"/>
          <w:highlight w:val="none"/>
          <w:lang w:eastAsia="zh-CN"/>
        </w:rPr>
        <w:t>参选人</w:t>
      </w:r>
      <w:r>
        <w:rPr>
          <w:rFonts w:hint="eastAsia" w:ascii="方正仿宋_GBK" w:hAnsi="方正仿宋_GBK" w:eastAsia="方正仿宋_GBK" w:cs="方正仿宋_GBK"/>
          <w:bCs/>
          <w:color w:val="000000"/>
          <w:sz w:val="28"/>
          <w:szCs w:val="28"/>
          <w:highlight w:val="none"/>
        </w:rPr>
        <w:t>，欢迎具有良好经营业绩、实力雄厚、且有诚意的</w:t>
      </w:r>
      <w:r>
        <w:rPr>
          <w:rFonts w:hint="eastAsia" w:ascii="方正仿宋_GBK" w:hAnsi="方正仿宋_GBK" w:eastAsia="方正仿宋_GBK" w:cs="方正仿宋_GBK"/>
          <w:bCs/>
          <w:color w:val="000000"/>
          <w:sz w:val="28"/>
          <w:szCs w:val="28"/>
          <w:highlight w:val="none"/>
          <w:lang w:eastAsia="zh-CN"/>
        </w:rPr>
        <w:t>参选人</w:t>
      </w:r>
      <w:r>
        <w:rPr>
          <w:rFonts w:hint="eastAsia" w:ascii="方正仿宋_GBK" w:hAnsi="方正仿宋_GBK" w:eastAsia="方正仿宋_GBK" w:cs="方正仿宋_GBK"/>
          <w:bCs/>
          <w:color w:val="000000"/>
          <w:sz w:val="28"/>
          <w:szCs w:val="28"/>
          <w:highlight w:val="none"/>
        </w:rPr>
        <w:t>踊跃报名</w:t>
      </w:r>
      <w:r>
        <w:rPr>
          <w:rFonts w:hint="eastAsia" w:ascii="方正仿宋_GBK" w:hAnsi="方正仿宋_GBK" w:eastAsia="方正仿宋_GBK" w:cs="方正仿宋_GBK"/>
          <w:bCs/>
          <w:color w:val="000000"/>
          <w:sz w:val="28"/>
          <w:szCs w:val="28"/>
          <w:highlight w:val="none"/>
          <w:lang w:val="en-US" w:eastAsia="zh-CN"/>
        </w:rPr>
        <w:t>参与比选</w:t>
      </w:r>
      <w:r>
        <w:rPr>
          <w:rFonts w:hint="eastAsia" w:ascii="方正仿宋_GBK" w:hAnsi="方正仿宋_GBK" w:eastAsia="方正仿宋_GBK" w:cs="方正仿宋_GBK"/>
          <w:bCs/>
          <w:color w:val="000000"/>
          <w:sz w:val="28"/>
          <w:szCs w:val="28"/>
          <w:highlight w:val="none"/>
        </w:rPr>
        <w:t>。现将有关具体事宜告知如下：</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1、项目概况及比选范围：</w:t>
      </w:r>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w:t>
      </w:r>
      <w:r>
        <w:rPr>
          <w:rFonts w:hint="eastAsia" w:ascii="方正仿宋_GBK" w:hAnsi="方正仿宋_GBK" w:eastAsia="方正仿宋_GBK" w:cs="方正仿宋_GBK"/>
          <w:color w:val="auto"/>
          <w:sz w:val="28"/>
          <w:szCs w:val="28"/>
          <w:highlight w:val="none"/>
          <w:lang w:val="en-US" w:eastAsia="zh-CN"/>
        </w:rPr>
        <w:t>项目</w:t>
      </w:r>
      <w:r>
        <w:rPr>
          <w:rFonts w:hint="eastAsia" w:ascii="方正仿宋_GBK" w:hAnsi="方正仿宋_GBK" w:eastAsia="方正仿宋_GBK" w:cs="方正仿宋_GBK"/>
          <w:color w:val="auto"/>
          <w:sz w:val="28"/>
          <w:szCs w:val="28"/>
          <w:highlight w:val="none"/>
        </w:rPr>
        <w:t>名称：</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号线二期工程（兴科大道～花石沟）</w:t>
      </w:r>
      <w:r>
        <w:rPr>
          <w:rFonts w:hint="eastAsia" w:ascii="方正仿宋_GBK" w:hAnsi="方正仿宋_GBK" w:eastAsia="方正仿宋_GBK" w:cs="方正仿宋_GBK"/>
          <w:color w:val="auto"/>
          <w:sz w:val="28"/>
          <w:szCs w:val="28"/>
          <w:highlight w:val="none"/>
        </w:rPr>
        <w:t>风水电系统</w:t>
      </w:r>
      <w:r>
        <w:rPr>
          <w:rFonts w:hint="eastAsia" w:ascii="方正仿宋_GBK" w:hAnsi="方正仿宋_GBK" w:eastAsia="方正仿宋_GBK" w:cs="方正仿宋_GBK"/>
          <w:color w:val="auto"/>
          <w:sz w:val="28"/>
          <w:szCs w:val="28"/>
          <w:highlight w:val="none"/>
          <w:lang w:val="en-US" w:eastAsia="zh-CN"/>
        </w:rPr>
        <w:t>双面彩钢复合风管采购</w:t>
      </w:r>
      <w:r>
        <w:rPr>
          <w:rFonts w:hint="eastAsia" w:ascii="方正仿宋_GBK" w:hAnsi="方正仿宋_GBK" w:eastAsia="方正仿宋_GBK" w:cs="方正仿宋_GBK"/>
          <w:color w:val="auto"/>
          <w:sz w:val="28"/>
          <w:szCs w:val="28"/>
          <w:highlight w:val="none"/>
        </w:rPr>
        <w:t>。</w:t>
      </w:r>
    </w:p>
    <w:p>
      <w:pPr>
        <w:spacing w:line="360" w:lineRule="auto"/>
        <w:ind w:firstLine="607" w:firstLineChars="217"/>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color w:val="auto"/>
          <w:sz w:val="28"/>
          <w:szCs w:val="28"/>
          <w:highlight w:val="none"/>
        </w:rPr>
        <w:t>1.2</w:t>
      </w:r>
      <w:r>
        <w:rPr>
          <w:rFonts w:hint="eastAsia" w:ascii="方正仿宋_GBK" w:hAnsi="方正仿宋_GBK" w:eastAsia="方正仿宋_GBK" w:cs="方正仿宋_GBK"/>
          <w:color w:val="auto"/>
          <w:sz w:val="28"/>
          <w:szCs w:val="28"/>
          <w:highlight w:val="none"/>
          <w:lang w:val="en-US" w:eastAsia="zh-CN"/>
        </w:rPr>
        <w:t>交货地点</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号线二期工程各站点（</w:t>
      </w:r>
      <w:r>
        <w:rPr>
          <w:rFonts w:hint="eastAsia" w:ascii="方正仿宋_GBK" w:hAnsi="方正仿宋_GBK" w:eastAsia="方正仿宋_GBK" w:cs="方正仿宋_GBK"/>
          <w:color w:val="auto"/>
          <w:sz w:val="28"/>
          <w:szCs w:val="28"/>
          <w:highlight w:val="none"/>
          <w:lang w:val="en-US" w:eastAsia="zh-CN"/>
        </w:rPr>
        <w:t>车板上交货</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w:t>
      </w:r>
    </w:p>
    <w:p>
      <w:pPr>
        <w:numPr>
          <w:ilvl w:val="0"/>
          <w:numId w:val="0"/>
        </w:numPr>
        <w:tabs>
          <w:tab w:val="left" w:pos="1050"/>
          <w:tab w:val="left" w:pos="1470"/>
        </w:tabs>
        <w:spacing w:line="360" w:lineRule="auto"/>
        <w:ind w:firstLine="560" w:firstLineChars="200"/>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1.3比选范围：包括</w:t>
      </w:r>
      <w:r>
        <w:rPr>
          <w:rFonts w:hint="eastAsia" w:ascii="方正仿宋_GBK" w:hAnsi="方正仿宋_GBK" w:eastAsia="方正仿宋_GBK" w:cs="方正仿宋_GBK"/>
          <w:color w:val="auto"/>
          <w:sz w:val="28"/>
          <w:szCs w:val="28"/>
          <w:highlight w:val="none"/>
          <w:lang w:eastAsia="zh-CN"/>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lang w:eastAsia="zh-CN"/>
        </w:rPr>
        <w:t>号线二期工程</w:t>
      </w:r>
      <w:r>
        <w:rPr>
          <w:rFonts w:hint="eastAsia" w:ascii="方正仿宋_GBK" w:hAnsi="方正仿宋_GBK" w:eastAsia="方正仿宋_GBK" w:cs="方正仿宋_GBK"/>
          <w:color w:val="auto"/>
          <w:sz w:val="28"/>
          <w:szCs w:val="28"/>
          <w:highlight w:val="none"/>
          <w:lang w:val="en-US" w:eastAsia="zh-CN"/>
        </w:rPr>
        <w:t>双面彩钢复合风管的供货及服务等所有工作内容，具体详见比选人提供的比选文件。</w:t>
      </w:r>
    </w:p>
    <w:p>
      <w:pPr>
        <w:numPr>
          <w:ilvl w:val="0"/>
          <w:numId w:val="0"/>
        </w:numPr>
        <w:tabs>
          <w:tab w:val="left" w:pos="1050"/>
          <w:tab w:val="left" w:pos="1470"/>
        </w:tabs>
        <w:spacing w:line="360" w:lineRule="auto"/>
        <w:ind w:firstLine="560" w:firstLineChars="200"/>
        <w:jc w:val="lef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1.4比选限价：</w:t>
      </w:r>
      <w:r>
        <w:rPr>
          <w:rFonts w:hint="eastAsia" w:ascii="方正仿宋_GBK" w:hAnsi="方正仿宋_GBK" w:eastAsia="方正仿宋_GBK" w:cs="方正仿宋_GBK"/>
          <w:color w:val="auto"/>
          <w:sz w:val="28"/>
          <w:szCs w:val="28"/>
          <w:highlight w:val="none"/>
          <w:u w:val="single"/>
          <w:lang w:val="en-US" w:eastAsia="zh-CN"/>
        </w:rPr>
        <w:t xml:space="preserve"> 3987077.18 </w:t>
      </w:r>
      <w:r>
        <w:rPr>
          <w:rFonts w:hint="eastAsia" w:ascii="方正仿宋_GBK" w:hAnsi="方正仿宋_GBK" w:eastAsia="方正仿宋_GBK" w:cs="方正仿宋_GBK"/>
          <w:color w:val="auto"/>
          <w:sz w:val="28"/>
          <w:szCs w:val="28"/>
          <w:highlight w:val="none"/>
          <w:lang w:val="en-US" w:eastAsia="zh-CN"/>
        </w:rPr>
        <w:t>元。</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 xml:space="preserve"> 1.5供货周期：15日历天内交货（具体排产时间以比选人书面通知为准）</w:t>
      </w:r>
    </w:p>
    <w:p>
      <w:pPr>
        <w:numPr>
          <w:ilvl w:val="0"/>
          <w:numId w:val="0"/>
        </w:numPr>
        <w:tabs>
          <w:tab w:val="left" w:pos="1050"/>
          <w:tab w:val="left" w:pos="1470"/>
        </w:tabs>
        <w:spacing w:line="360" w:lineRule="auto"/>
        <w:ind w:leftChars="199"/>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2、参选人资格要求</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2.1 参选人需提供其拥有增值税一般纳税人资格的证明文件，提供以下①、②、③、④项之一证明文件均可：</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①《增值税一般纳税人资格登记表》或《一般纳税人资格证书》复印件；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②加盖“增值税一般纳税人”章的《税务登记证》副本复印件；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③已办理“三证合一”的企业需提供由其主管国税机关出具的一般纳税人税务事项通知书复印件；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④税务机关官方网站上的查询结果截图或税务机关出具的其他证明材料。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2.2参选人需提供2018年、2019年、2020年或近三年的资产负债表、利润表、现金流量表，且企业财务状况不亏损。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2.3参选人为代理商，需提供</w:t>
      </w:r>
      <w:r>
        <w:rPr>
          <w:rFonts w:hint="eastAsia" w:ascii="方正仿宋_GBK" w:hAnsi="方正仿宋_GBK" w:eastAsia="方正仿宋_GBK" w:cs="方正仿宋_GBK"/>
          <w:color w:val="auto"/>
          <w:sz w:val="28"/>
          <w:szCs w:val="28"/>
          <w:highlight w:val="none"/>
        </w:rPr>
        <w:t>制造商</w:t>
      </w:r>
      <w:r>
        <w:rPr>
          <w:rFonts w:hint="eastAsia" w:ascii="方正仿宋_GBK" w:hAnsi="方正仿宋_GBK" w:eastAsia="方正仿宋_GBK" w:cs="方正仿宋_GBK"/>
          <w:color w:val="auto"/>
          <w:sz w:val="28"/>
          <w:szCs w:val="28"/>
          <w:highlight w:val="none"/>
          <w:lang w:val="en-US" w:eastAsia="zh-CN"/>
        </w:rPr>
        <w:t>项目授权书。</w:t>
      </w:r>
    </w:p>
    <w:p>
      <w:pPr>
        <w:spacing w:line="360" w:lineRule="auto"/>
        <w:ind w:firstLine="521"/>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8"/>
          <w:szCs w:val="28"/>
          <w:highlight w:val="none"/>
          <w:lang w:val="en-US" w:eastAsia="zh-CN"/>
        </w:rPr>
        <w:t>2.4需提供</w:t>
      </w:r>
      <w:r>
        <w:rPr>
          <w:rFonts w:hint="eastAsia" w:ascii="方正仿宋_GBK" w:hAnsi="方正仿宋_GBK" w:eastAsia="方正仿宋_GBK" w:cs="方正仿宋_GBK"/>
          <w:color w:val="auto"/>
          <w:sz w:val="28"/>
          <w:szCs w:val="28"/>
          <w:highlight w:val="none"/>
        </w:rPr>
        <w:t>制造商有效的ISO9001质量体系认证、ISO14001环境管理体系OHSAS18001职业健康安全管理体系；企业注册资金应不低于1000万元人民币</w:t>
      </w:r>
      <w:r>
        <w:rPr>
          <w:rFonts w:hint="eastAsia" w:ascii="方正仿宋_GBK" w:hAnsi="方正仿宋_GBK" w:eastAsia="方正仿宋_GBK" w:cs="方正仿宋_GBK"/>
          <w:color w:val="auto"/>
          <w:sz w:val="28"/>
          <w:szCs w:val="28"/>
          <w:highlight w:val="none"/>
          <w:lang w:eastAsia="zh-CN"/>
        </w:rPr>
        <w:t>。</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2.5参选人应提供至少1条及以上，5年内城市轨道交通（或铁路或机场或大型场馆）工程复合风管的供货业绩，且业绩合同金额不低于100万元。需提供业绩合同复印件加盖参选单位鲜公章或其他业绩证明材料。</w:t>
      </w:r>
    </w:p>
    <w:p>
      <w:pPr>
        <w:tabs>
          <w:tab w:val="left" w:pos="1050"/>
          <w:tab w:val="left" w:pos="1470"/>
        </w:tabs>
        <w:spacing w:line="360" w:lineRule="auto"/>
        <w:ind w:left="-2" w:leftChars="-1" w:firstLine="562"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3.比选文件的获取</w:t>
      </w:r>
    </w:p>
    <w:p>
      <w:pPr>
        <w:tabs>
          <w:tab w:val="left" w:pos="1050"/>
          <w:tab w:val="left" w:pos="1470"/>
        </w:tabs>
        <w:spacing w:line="360" w:lineRule="auto"/>
        <w:ind w:left="-2" w:leftChars="-1" w:firstLine="560" w:firstLineChars="200"/>
        <w:jc w:val="left"/>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凡有意参加比选者，请于</w:t>
      </w:r>
      <w:r>
        <w:rPr>
          <w:rFonts w:hint="eastAsia" w:ascii="方正仿宋_GBK" w:hAnsi="方正仿宋_GBK" w:eastAsia="方正仿宋_GBK" w:cs="方正仿宋_GBK"/>
          <w:bCs/>
          <w:color w:val="000000"/>
          <w:sz w:val="28"/>
          <w:szCs w:val="28"/>
          <w:highlight w:val="none"/>
          <w:u w:val="single"/>
        </w:rPr>
        <w:t xml:space="preserve"> 20</w:t>
      </w:r>
      <w:r>
        <w:rPr>
          <w:rFonts w:hint="eastAsia" w:ascii="方正仿宋_GBK" w:hAnsi="方正仿宋_GBK" w:eastAsia="方正仿宋_GBK" w:cs="方正仿宋_GBK"/>
          <w:bCs/>
          <w:color w:val="000000"/>
          <w:sz w:val="28"/>
          <w:szCs w:val="28"/>
          <w:highlight w:val="none"/>
          <w:u w:val="single"/>
          <w:lang w:val="en-US" w:eastAsia="zh-CN"/>
        </w:rPr>
        <w:t>22</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rPr>
        <w:t>年</w:t>
      </w:r>
      <w:r>
        <w:rPr>
          <w:rFonts w:hint="eastAsia" w:ascii="方正仿宋_GBK" w:hAnsi="方正仿宋_GBK" w:eastAsia="方正仿宋_GBK" w:cs="方正仿宋_GBK"/>
          <w:bCs/>
          <w:color w:val="000000"/>
          <w:sz w:val="28"/>
          <w:szCs w:val="28"/>
          <w:highlight w:val="none"/>
          <w:u w:val="single"/>
          <w:lang w:val="en-US" w:eastAsia="zh-CN"/>
        </w:rPr>
        <w:t xml:space="preserve"> 2</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auto"/>
          <w:sz w:val="28"/>
          <w:szCs w:val="28"/>
          <w:highlight w:val="none"/>
        </w:rPr>
        <w:t>月</w:t>
      </w:r>
      <w:r>
        <w:rPr>
          <w:rFonts w:hint="eastAsia" w:ascii="方正仿宋_GBK" w:hAnsi="方正仿宋_GBK" w:eastAsia="方正仿宋_GBK" w:cs="方正仿宋_GBK"/>
          <w:bCs/>
          <w:color w:val="auto"/>
          <w:sz w:val="28"/>
          <w:szCs w:val="28"/>
          <w:highlight w:val="none"/>
          <w:u w:val="single"/>
          <w:lang w:val="en-US" w:eastAsia="zh-CN"/>
        </w:rPr>
        <w:t xml:space="preserve"> 14</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rPr>
        <w:t>日</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北京时间</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在“www.cme-cq.com”下载比选文件、图纸、清单、补充资料等全部内容。</w:t>
      </w:r>
    </w:p>
    <w:p>
      <w:pPr>
        <w:tabs>
          <w:tab w:val="left" w:pos="1050"/>
          <w:tab w:val="left" w:pos="1470"/>
        </w:tabs>
        <w:spacing w:line="360" w:lineRule="auto"/>
        <w:ind w:left="-2" w:leftChars="-1" w:firstLine="562"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4.参选文件的递交</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4.1参选文件递交截止时间</w:t>
      </w:r>
      <w:r>
        <w:rPr>
          <w:rFonts w:hint="eastAsia" w:ascii="方正仿宋_GBK" w:hAnsi="方正仿宋_GBK" w:eastAsia="方正仿宋_GBK" w:cs="方正仿宋_GBK"/>
          <w:bCs/>
          <w:color w:val="000000"/>
          <w:sz w:val="28"/>
          <w:szCs w:val="28"/>
          <w:highlight w:val="yellow"/>
          <w:u w:val="single"/>
        </w:rPr>
        <w:t>20</w:t>
      </w:r>
      <w:r>
        <w:rPr>
          <w:rFonts w:hint="eastAsia" w:ascii="方正仿宋_GBK" w:hAnsi="方正仿宋_GBK" w:eastAsia="方正仿宋_GBK" w:cs="方正仿宋_GBK"/>
          <w:bCs/>
          <w:color w:val="000000"/>
          <w:sz w:val="28"/>
          <w:szCs w:val="28"/>
          <w:highlight w:val="yellow"/>
          <w:u w:val="single"/>
          <w:lang w:val="en-US" w:eastAsia="zh-CN"/>
        </w:rPr>
        <w:t>22</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rPr>
        <w:t>年</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000000"/>
          <w:sz w:val="28"/>
          <w:szCs w:val="28"/>
          <w:highlight w:val="yellow"/>
          <w:u w:val="single"/>
          <w:lang w:val="en-US" w:eastAsia="zh-CN"/>
        </w:rPr>
        <w:t>2</w:t>
      </w:r>
      <w:r>
        <w:rPr>
          <w:rFonts w:hint="eastAsia" w:ascii="方正仿宋_GBK" w:hAnsi="方正仿宋_GBK" w:eastAsia="方正仿宋_GBK" w:cs="方正仿宋_GBK"/>
          <w:bCs/>
          <w:color w:val="000000"/>
          <w:sz w:val="28"/>
          <w:szCs w:val="28"/>
          <w:highlight w:val="yellow"/>
          <w:u w:val="single"/>
        </w:rPr>
        <w:t xml:space="preserve"> </w:t>
      </w:r>
      <w:r>
        <w:rPr>
          <w:rFonts w:hint="eastAsia" w:ascii="方正仿宋_GBK" w:hAnsi="方正仿宋_GBK" w:eastAsia="方正仿宋_GBK" w:cs="方正仿宋_GBK"/>
          <w:bCs/>
          <w:color w:val="auto"/>
          <w:sz w:val="28"/>
          <w:szCs w:val="28"/>
          <w:highlight w:val="yellow"/>
        </w:rPr>
        <w:t>月</w:t>
      </w:r>
      <w:r>
        <w:rPr>
          <w:rFonts w:hint="eastAsia" w:ascii="方正仿宋_GBK" w:hAnsi="方正仿宋_GBK" w:eastAsia="方正仿宋_GBK" w:cs="方正仿宋_GBK"/>
          <w:bCs/>
          <w:color w:val="auto"/>
          <w:sz w:val="28"/>
          <w:szCs w:val="28"/>
          <w:highlight w:val="yellow"/>
          <w:u w:val="single"/>
          <w:lang w:val="en-US" w:eastAsia="zh-CN"/>
        </w:rPr>
        <w:t xml:space="preserve"> 18 </w:t>
      </w:r>
      <w:r>
        <w:rPr>
          <w:rFonts w:hint="eastAsia" w:ascii="方正仿宋_GBK" w:hAnsi="方正仿宋_GBK" w:eastAsia="方正仿宋_GBK" w:cs="方正仿宋_GBK"/>
          <w:bCs/>
          <w:color w:val="000000"/>
          <w:sz w:val="28"/>
          <w:szCs w:val="28"/>
          <w:highlight w:val="yellow"/>
        </w:rPr>
        <w:t>日</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u w:val="single"/>
          <w:lang w:val="en-US" w:eastAsia="zh-CN"/>
        </w:rPr>
        <w:t>17：00</w:t>
      </w:r>
      <w:r>
        <w:rPr>
          <w:rFonts w:hint="eastAsia" w:ascii="方正仿宋_GBK" w:hAnsi="方正仿宋_GBK" w:eastAsia="方正仿宋_GBK" w:cs="方正仿宋_GBK"/>
          <w:bCs/>
          <w:color w:val="000000"/>
          <w:sz w:val="28"/>
          <w:szCs w:val="28"/>
          <w:highlight w:val="none"/>
          <w:u w:val="single"/>
        </w:rPr>
        <w:t xml:space="preserve">  </w:t>
      </w:r>
      <w:r>
        <w:rPr>
          <w:rFonts w:hint="eastAsia" w:ascii="方正仿宋_GBK" w:hAnsi="方正仿宋_GBK" w:eastAsia="方正仿宋_GBK" w:cs="方正仿宋_GBK"/>
          <w:bCs/>
          <w:color w:val="000000"/>
          <w:sz w:val="28"/>
          <w:szCs w:val="28"/>
          <w:highlight w:val="none"/>
        </w:rPr>
        <w:t>时</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lang w:val="en-US" w:eastAsia="zh-CN"/>
        </w:rPr>
        <w:t>北京时间</w:t>
      </w:r>
      <w:r>
        <w:rPr>
          <w:rFonts w:hint="eastAsia" w:ascii="方正仿宋_GBK" w:hAnsi="方正仿宋_GBK" w:eastAsia="方正仿宋_GBK" w:cs="方正仿宋_GBK"/>
          <w:bCs/>
          <w:color w:val="000000"/>
          <w:sz w:val="28"/>
          <w:szCs w:val="28"/>
          <w:highlight w:val="none"/>
          <w:lang w:eastAsia="zh-CN"/>
        </w:rPr>
        <w:t>），</w:t>
      </w:r>
      <w:r>
        <w:rPr>
          <w:rFonts w:hint="eastAsia" w:ascii="方正仿宋_GBK" w:hAnsi="方正仿宋_GBK" w:eastAsia="方正仿宋_GBK" w:cs="方正仿宋_GBK"/>
          <w:bCs/>
          <w:color w:val="000000"/>
          <w:sz w:val="28"/>
          <w:szCs w:val="28"/>
          <w:highlight w:val="none"/>
        </w:rPr>
        <w:t>地点：重庆市北部新区黄山大道中段信达国际A座17</w:t>
      </w:r>
      <w:r>
        <w:rPr>
          <w:rFonts w:hint="eastAsia" w:ascii="方正仿宋_GBK" w:hAnsi="方正仿宋_GBK" w:eastAsia="方正仿宋_GBK" w:cs="方正仿宋_GBK"/>
          <w:bCs/>
          <w:color w:val="000000"/>
          <w:sz w:val="28"/>
          <w:szCs w:val="28"/>
          <w:highlight w:val="none"/>
          <w:lang w:val="en-US" w:eastAsia="zh-CN"/>
        </w:rPr>
        <w:t>楼1715室，联系人</w:t>
      </w:r>
      <w:r>
        <w:rPr>
          <w:rFonts w:hint="eastAsia" w:ascii="方正仿宋_GBK" w:hAnsi="方正仿宋_GBK" w:eastAsia="方正仿宋_GBK" w:cs="方正仿宋_GBK"/>
          <w:color w:val="000000"/>
          <w:sz w:val="28"/>
          <w:szCs w:val="28"/>
          <w:highlight w:val="none"/>
          <w:lang w:val="en-US" w:eastAsia="zh-CN"/>
        </w:rPr>
        <w:t xml:space="preserve">王老师 18602383621 </w:t>
      </w:r>
      <w:r>
        <w:rPr>
          <w:rFonts w:hint="eastAsia" w:ascii="方正仿宋_GBK" w:hAnsi="方正仿宋_GBK" w:eastAsia="方正仿宋_GBK" w:cs="方正仿宋_GBK"/>
          <w:bCs/>
          <w:color w:val="000000"/>
          <w:sz w:val="28"/>
          <w:szCs w:val="28"/>
          <w:highlight w:val="none"/>
          <w:lang w:val="en-US" w:eastAsia="zh-CN"/>
        </w:rPr>
        <w:t>。</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4.2逾期送达的或者未送达指定地点的参选文件，比选人不予受理。</w:t>
      </w:r>
    </w:p>
    <w:p>
      <w:pPr>
        <w:tabs>
          <w:tab w:val="left" w:pos="1050"/>
          <w:tab w:val="left" w:pos="1470"/>
        </w:tabs>
        <w:spacing w:line="360" w:lineRule="auto"/>
        <w:ind w:left="-2" w:leftChars="-1" w:firstLine="562" w:firstLineChars="200"/>
        <w:jc w:val="left"/>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5.对参选人的纪律要求</w:t>
      </w:r>
    </w:p>
    <w:p>
      <w:pPr>
        <w:numPr>
          <w:ilvl w:val="0"/>
          <w:numId w:val="0"/>
        </w:numPr>
        <w:tabs>
          <w:tab w:val="left" w:pos="1050"/>
          <w:tab w:val="left" w:pos="1470"/>
        </w:tabs>
        <w:spacing w:line="360" w:lineRule="auto"/>
        <w:ind w:firstLine="560"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Cs/>
          <w:color w:val="000000"/>
          <w:sz w:val="28"/>
          <w:szCs w:val="28"/>
          <w:highlight w:val="none"/>
          <w:lang w:val="en-US" w:eastAsia="zh-CN"/>
        </w:rPr>
        <w:t>参选人不得相互串通或者与比选人串通，不得向比选人或者评审小组成员行贿谋取中选，不得以他人名义参选或者以其他方式弄虚作假骗取中选；一经核实取消参选人资格。</w:t>
      </w:r>
    </w:p>
    <w:p>
      <w:pPr>
        <w:tabs>
          <w:tab w:val="left" w:pos="1050"/>
          <w:tab w:val="left" w:pos="1470"/>
        </w:tabs>
        <w:spacing w:line="360" w:lineRule="auto"/>
        <w:ind w:firstLine="562"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6.发布公告的媒介</w:t>
      </w:r>
    </w:p>
    <w:p>
      <w:pPr>
        <w:tabs>
          <w:tab w:val="left" w:pos="1050"/>
          <w:tab w:val="left" w:pos="1470"/>
        </w:tabs>
        <w:spacing w:line="360" w:lineRule="auto"/>
        <w:ind w:firstLine="560" w:firstLineChars="200"/>
        <w:rPr>
          <w:rFonts w:hint="eastAsia" w:ascii="方正仿宋_GBK" w:hAnsi="方正仿宋_GBK" w:eastAsia="方正仿宋_GBK" w:cs="方正仿宋_GBK"/>
          <w:bCs/>
          <w:color w:val="000000"/>
          <w:sz w:val="28"/>
          <w:szCs w:val="28"/>
          <w:highlight w:val="none"/>
          <w:u w:val="single"/>
        </w:rPr>
      </w:pPr>
      <w:r>
        <w:rPr>
          <w:rFonts w:hint="eastAsia" w:ascii="方正仿宋_GBK" w:hAnsi="方正仿宋_GBK" w:eastAsia="方正仿宋_GBK" w:cs="方正仿宋_GBK"/>
          <w:bCs/>
          <w:color w:val="000000"/>
          <w:sz w:val="28"/>
          <w:szCs w:val="28"/>
          <w:highlight w:val="none"/>
          <w:lang w:val="en-US" w:eastAsia="zh-CN"/>
        </w:rPr>
        <w:t>本次比选文件公告在</w:t>
      </w:r>
      <w:r>
        <w:rPr>
          <w:rFonts w:hint="eastAsia" w:ascii="方正仿宋_GBK" w:hAnsi="方正仿宋_GBK" w:eastAsia="方正仿宋_GBK" w:cs="方正仿宋_GBK"/>
          <w:bCs/>
          <w:color w:val="000000"/>
          <w:sz w:val="28"/>
          <w:szCs w:val="28"/>
          <w:highlight w:val="none"/>
          <w:u w:val="single"/>
          <w:lang w:val="en-US" w:eastAsia="zh-CN"/>
        </w:rPr>
        <w:t>重庆机电控股（集团）公司官方网站“www.cme-cq.com”发布。</w:t>
      </w:r>
    </w:p>
    <w:p>
      <w:pPr>
        <w:tabs>
          <w:tab w:val="left" w:pos="1050"/>
          <w:tab w:val="left" w:pos="1470"/>
        </w:tabs>
        <w:spacing w:line="360" w:lineRule="auto"/>
        <w:ind w:firstLine="562" w:firstLineChars="200"/>
        <w:rPr>
          <w:rFonts w:hint="eastAsia" w:ascii="方正仿宋_GBK" w:hAnsi="方正仿宋_GBK" w:eastAsia="方正仿宋_GBK" w:cs="方正仿宋_GBK"/>
          <w:b/>
          <w:bCs w:val="0"/>
          <w:color w:val="000000"/>
          <w:sz w:val="28"/>
          <w:szCs w:val="28"/>
          <w:highlight w:val="none"/>
          <w:lang w:val="en-US" w:eastAsia="zh-CN"/>
        </w:rPr>
      </w:pPr>
      <w:r>
        <w:rPr>
          <w:rFonts w:hint="eastAsia" w:ascii="方正仿宋_GBK" w:hAnsi="方正仿宋_GBK" w:eastAsia="方正仿宋_GBK" w:cs="方正仿宋_GBK"/>
          <w:b/>
          <w:bCs w:val="0"/>
          <w:color w:val="000000"/>
          <w:sz w:val="28"/>
          <w:szCs w:val="28"/>
          <w:highlight w:val="none"/>
          <w:lang w:val="en-US" w:eastAsia="zh-CN"/>
        </w:rPr>
        <w:t>7.联系方式</w:t>
      </w:r>
    </w:p>
    <w:p>
      <w:pPr>
        <w:numPr>
          <w:ilvl w:val="0"/>
          <w:numId w:val="0"/>
        </w:numPr>
        <w:tabs>
          <w:tab w:val="left" w:pos="1050"/>
          <w:tab w:val="left" w:pos="1470"/>
        </w:tabs>
        <w:spacing w:line="360" w:lineRule="auto"/>
        <w:ind w:firstLine="1120" w:firstLineChars="400"/>
        <w:rPr>
          <w:rFonts w:hint="eastAsia" w:ascii="方正仿宋_GBK" w:hAnsi="方正仿宋_GBK" w:eastAsia="方正仿宋_GBK" w:cs="方正仿宋_GBK"/>
          <w:bCs/>
          <w:color w:val="000000"/>
          <w:sz w:val="28"/>
          <w:szCs w:val="28"/>
          <w:highlight w:val="none"/>
          <w:lang w:val="en-US" w:eastAsia="zh-CN"/>
        </w:rPr>
      </w:pPr>
      <w:r>
        <w:rPr>
          <w:rFonts w:hint="eastAsia" w:ascii="方正仿宋_GBK" w:hAnsi="方正仿宋_GBK" w:eastAsia="方正仿宋_GBK" w:cs="方正仿宋_GBK"/>
          <w:color w:val="000000"/>
          <w:sz w:val="28"/>
          <w:szCs w:val="28"/>
          <w:highlight w:val="none"/>
          <w:lang w:val="en-US" w:eastAsia="zh-CN"/>
        </w:rPr>
        <w:t xml:space="preserve">王老师 18602383621              </w:t>
      </w:r>
      <w:r>
        <w:rPr>
          <w:rFonts w:hint="eastAsia" w:ascii="方正仿宋_GBK" w:hAnsi="方正仿宋_GBK" w:eastAsia="方正仿宋_GBK" w:cs="方正仿宋_GBK"/>
          <w:color w:val="000000"/>
          <w:sz w:val="28"/>
          <w:szCs w:val="28"/>
          <w:highlight w:val="none"/>
        </w:rPr>
        <w:t>周</w:t>
      </w:r>
      <w:r>
        <w:rPr>
          <w:rFonts w:hint="eastAsia" w:ascii="方正仿宋_GBK" w:hAnsi="方正仿宋_GBK" w:eastAsia="方正仿宋_GBK" w:cs="方正仿宋_GBK"/>
          <w:color w:val="000000"/>
          <w:sz w:val="28"/>
          <w:szCs w:val="28"/>
          <w:highlight w:val="none"/>
          <w:lang w:val="en-US" w:eastAsia="zh-CN"/>
        </w:rPr>
        <w:t>老师</w:t>
      </w:r>
      <w:r>
        <w:rPr>
          <w:rFonts w:hint="eastAsia" w:ascii="方正仿宋_GBK" w:hAnsi="方正仿宋_GBK" w:eastAsia="方正仿宋_GBK" w:cs="方正仿宋_GBK"/>
          <w:color w:val="000000"/>
          <w:sz w:val="28"/>
          <w:szCs w:val="28"/>
          <w:highlight w:val="none"/>
        </w:rPr>
        <w:t xml:space="preserve">  18580555345</w:t>
      </w:r>
      <w:r>
        <w:rPr>
          <w:rFonts w:hint="eastAsia" w:ascii="方正仿宋_GBK" w:hAnsi="方正仿宋_GBK" w:eastAsia="方正仿宋_GBK" w:cs="方正仿宋_GBK"/>
          <w:color w:val="000000"/>
          <w:sz w:val="28"/>
          <w:szCs w:val="28"/>
          <w:highlight w:val="none"/>
          <w:lang w:val="en-US" w:eastAsia="zh-CN"/>
        </w:rPr>
        <w:t xml:space="preserve"> </w:t>
      </w:r>
    </w:p>
    <w:p>
      <w:pPr>
        <w:tabs>
          <w:tab w:val="left" w:pos="1050"/>
          <w:tab w:val="left" w:pos="1470"/>
        </w:tabs>
        <w:spacing w:line="360" w:lineRule="auto"/>
        <w:ind w:left="-2" w:leftChars="-1" w:firstLine="840" w:firstLineChars="300"/>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color w:val="000000"/>
          <w:sz w:val="28"/>
          <w:szCs w:val="28"/>
          <w:highlight w:val="none"/>
        </w:rPr>
        <w:t xml:space="preserve"> E-mail：</w:t>
      </w:r>
      <w:r>
        <w:rPr>
          <w:rFonts w:hint="eastAsia" w:ascii="方正仿宋_GBK" w:hAnsi="方正仿宋_GBK" w:eastAsia="方正仿宋_GBK" w:cs="方正仿宋_GBK"/>
          <w:bCs/>
          <w:color w:val="000000"/>
          <w:sz w:val="28"/>
          <w:szCs w:val="28"/>
          <w:highlight w:val="none"/>
          <w:lang w:val="en-US" w:eastAsia="zh-CN"/>
        </w:rPr>
        <w:fldChar w:fldCharType="begin"/>
      </w:r>
      <w:r>
        <w:rPr>
          <w:rFonts w:hint="eastAsia" w:ascii="方正仿宋_GBK" w:hAnsi="方正仿宋_GBK" w:eastAsia="方正仿宋_GBK" w:cs="方正仿宋_GBK"/>
          <w:bCs/>
          <w:color w:val="000000"/>
          <w:sz w:val="28"/>
          <w:szCs w:val="28"/>
          <w:highlight w:val="none"/>
          <w:lang w:val="en-US" w:eastAsia="zh-CN"/>
        </w:rPr>
        <w:instrText xml:space="preserve"> HYPERLINK "mailto:wanglei@cme-gc.com" </w:instrText>
      </w:r>
      <w:r>
        <w:rPr>
          <w:rFonts w:hint="eastAsia" w:ascii="方正仿宋_GBK" w:hAnsi="方正仿宋_GBK" w:eastAsia="方正仿宋_GBK" w:cs="方正仿宋_GBK"/>
          <w:bCs/>
          <w:color w:val="000000"/>
          <w:sz w:val="28"/>
          <w:szCs w:val="28"/>
          <w:highlight w:val="none"/>
          <w:lang w:val="en-US" w:eastAsia="zh-CN"/>
        </w:rPr>
        <w:fldChar w:fldCharType="separate"/>
      </w:r>
      <w:r>
        <w:rPr>
          <w:rFonts w:hint="eastAsia" w:ascii="方正仿宋_GBK" w:hAnsi="方正仿宋_GBK" w:eastAsia="方正仿宋_GBK" w:cs="方正仿宋_GBK"/>
          <w:bCs/>
          <w:color w:val="000000"/>
          <w:sz w:val="28"/>
          <w:szCs w:val="28"/>
          <w:highlight w:val="none"/>
          <w:lang w:val="en-US" w:eastAsia="zh-CN"/>
        </w:rPr>
        <w:t>wanglei</w:t>
      </w:r>
      <w:r>
        <w:rPr>
          <w:rFonts w:hint="eastAsia" w:ascii="方正仿宋_GBK" w:hAnsi="方正仿宋_GBK" w:eastAsia="方正仿宋_GBK" w:cs="方正仿宋_GBK"/>
          <w:bCs/>
          <w:color w:val="000000"/>
          <w:sz w:val="28"/>
          <w:szCs w:val="28"/>
          <w:highlight w:val="none"/>
        </w:rPr>
        <w:t>@cme-gc.com</w:t>
      </w:r>
      <w:r>
        <w:rPr>
          <w:rFonts w:hint="eastAsia" w:ascii="方正仿宋_GBK" w:hAnsi="方正仿宋_GBK" w:eastAsia="方正仿宋_GBK" w:cs="方正仿宋_GBK"/>
          <w:bCs/>
          <w:color w:val="000000"/>
          <w:sz w:val="28"/>
          <w:szCs w:val="28"/>
          <w:highlight w:val="none"/>
          <w:lang w:val="en-US" w:eastAsia="zh-CN"/>
        </w:rPr>
        <w:fldChar w:fldCharType="end"/>
      </w:r>
      <w:r>
        <w:rPr>
          <w:rFonts w:hint="eastAsia" w:ascii="方正仿宋_GBK" w:hAnsi="方正仿宋_GBK" w:eastAsia="方正仿宋_GBK" w:cs="方正仿宋_GBK"/>
          <w:bCs/>
          <w:color w:val="000000"/>
          <w:sz w:val="28"/>
          <w:szCs w:val="28"/>
          <w:highlight w:val="none"/>
          <w:lang w:val="en-US" w:eastAsia="zh-CN"/>
        </w:rPr>
        <w:t xml:space="preserve">  </w:t>
      </w:r>
      <w:r>
        <w:rPr>
          <w:rFonts w:hint="eastAsia" w:ascii="方正仿宋_GBK" w:hAnsi="方正仿宋_GBK" w:eastAsia="方正仿宋_GBK" w:cs="方正仿宋_GBK"/>
          <w:color w:val="000000"/>
          <w:sz w:val="28"/>
          <w:szCs w:val="28"/>
          <w:highlight w:val="none"/>
          <w:lang w:val="en-US" w:eastAsia="zh-CN"/>
        </w:rPr>
        <w:t xml:space="preserve">   </w:t>
      </w:r>
      <w:r>
        <w:rPr>
          <w:rFonts w:hint="eastAsia" w:ascii="方正仿宋_GBK" w:hAnsi="方正仿宋_GBK" w:eastAsia="方正仿宋_GBK" w:cs="方正仿宋_GBK"/>
          <w:bCs/>
          <w:color w:val="000000"/>
          <w:sz w:val="28"/>
          <w:szCs w:val="28"/>
          <w:highlight w:val="none"/>
          <w:lang w:val="en-US" w:eastAsia="zh-CN"/>
        </w:rPr>
        <w:t>zhoupeng@cme-gc.com</w:t>
      </w:r>
    </w:p>
    <w:p>
      <w:pPr>
        <w:tabs>
          <w:tab w:val="left" w:pos="1050"/>
          <w:tab w:val="left" w:pos="1470"/>
        </w:tabs>
        <w:spacing w:line="360" w:lineRule="auto"/>
        <w:ind w:left="-2" w:leftChars="-1" w:firstLine="560" w:firstLineChars="200"/>
        <w:rPr>
          <w:rFonts w:hint="eastAsia" w:ascii="方正仿宋_GBK" w:hAnsi="方正仿宋_GBK" w:eastAsia="方正仿宋_GBK" w:cs="方正仿宋_GBK"/>
          <w:color w:val="000000"/>
          <w:sz w:val="28"/>
          <w:szCs w:val="28"/>
          <w:highlight w:val="none"/>
        </w:rPr>
      </w:pPr>
    </w:p>
    <w:p>
      <w:pPr>
        <w:spacing w:line="360" w:lineRule="auto"/>
        <w:ind w:left="560"/>
        <w:rPr>
          <w:rFonts w:hint="eastAsia" w:ascii="方正仿宋_GBK" w:hAnsi="方正仿宋_GBK" w:eastAsia="方正仿宋_GBK" w:cs="方正仿宋_GBK"/>
          <w:color w:val="000000"/>
          <w:sz w:val="28"/>
          <w:szCs w:val="28"/>
          <w:highlight w:val="none"/>
        </w:rPr>
      </w:pPr>
    </w:p>
    <w:p>
      <w:pPr>
        <w:spacing w:line="360" w:lineRule="auto"/>
        <w:jc w:val="right"/>
        <w:rPr>
          <w:rFonts w:hint="eastAsia" w:ascii="方正仿宋_GBK" w:hAnsi="方正仿宋_GBK" w:eastAsia="方正仿宋_GBK" w:cs="方正仿宋_GBK"/>
          <w:bCs/>
          <w:color w:val="000000"/>
          <w:sz w:val="28"/>
          <w:szCs w:val="28"/>
          <w:highlight w:val="none"/>
        </w:rPr>
      </w:pPr>
      <w:r>
        <w:rPr>
          <w:rFonts w:hint="eastAsia" w:ascii="方正仿宋_GBK" w:hAnsi="方正仿宋_GBK" w:eastAsia="方正仿宋_GBK" w:cs="方正仿宋_GBK"/>
          <w:bCs/>
          <w:color w:val="000000"/>
          <w:sz w:val="28"/>
          <w:szCs w:val="28"/>
          <w:highlight w:val="none"/>
        </w:rPr>
        <w:t>重庆机电控股集团机电工程技术有限公司</w:t>
      </w:r>
    </w:p>
    <w:p>
      <w:pPr>
        <w:spacing w:line="360" w:lineRule="auto"/>
        <w:ind w:left="420" w:leftChars="200" w:firstLine="2100" w:firstLineChars="750"/>
        <w:jc w:val="left"/>
        <w:rPr>
          <w:rFonts w:hint="eastAsia" w:ascii="方正仿宋_GBK" w:hAnsi="方正仿宋_GBK" w:eastAsia="方正仿宋_GBK" w:cs="方正仿宋_GBK"/>
          <w:color w:val="000000"/>
          <w:sz w:val="28"/>
          <w:szCs w:val="28"/>
          <w:highlight w:val="none"/>
        </w:rPr>
      </w:pPr>
      <w:r>
        <w:rPr>
          <w:rFonts w:hint="eastAsia" w:ascii="方正仿宋_GBK" w:hAnsi="方正仿宋_GBK" w:eastAsia="方正仿宋_GBK" w:cs="方正仿宋_GBK"/>
          <w:bCs/>
          <w:color w:val="000000"/>
          <w:sz w:val="28"/>
          <w:szCs w:val="28"/>
          <w:highlight w:val="none"/>
        </w:rPr>
        <w:t xml:space="preserve">                         二○二</w:t>
      </w:r>
      <w:r>
        <w:rPr>
          <w:rFonts w:hint="eastAsia" w:ascii="方正仿宋_GBK" w:hAnsi="方正仿宋_GBK" w:eastAsia="方正仿宋_GBK" w:cs="方正仿宋_GBK"/>
          <w:bCs/>
          <w:color w:val="000000"/>
          <w:sz w:val="28"/>
          <w:szCs w:val="28"/>
          <w:highlight w:val="none"/>
          <w:lang w:val="en-US" w:eastAsia="zh-CN"/>
        </w:rPr>
        <w:t>二</w:t>
      </w:r>
      <w:r>
        <w:rPr>
          <w:rFonts w:hint="eastAsia" w:ascii="方正仿宋_GBK" w:hAnsi="方正仿宋_GBK" w:eastAsia="方正仿宋_GBK" w:cs="方正仿宋_GBK"/>
          <w:bCs/>
          <w:color w:val="000000"/>
          <w:sz w:val="28"/>
          <w:szCs w:val="28"/>
          <w:highlight w:val="none"/>
        </w:rPr>
        <w:t>年</w:t>
      </w:r>
      <w:r>
        <w:rPr>
          <w:rFonts w:hint="eastAsia" w:ascii="方正仿宋_GBK" w:hAnsi="方正仿宋_GBK" w:eastAsia="方正仿宋_GBK" w:cs="方正仿宋_GBK"/>
          <w:bCs/>
          <w:color w:val="000000"/>
          <w:sz w:val="28"/>
          <w:szCs w:val="28"/>
          <w:highlight w:val="none"/>
          <w:lang w:val="en-US" w:eastAsia="zh-CN"/>
        </w:rPr>
        <w:t>二</w:t>
      </w:r>
      <w:r>
        <w:rPr>
          <w:rFonts w:hint="eastAsia" w:ascii="方正仿宋_GBK" w:hAnsi="方正仿宋_GBK" w:eastAsia="方正仿宋_GBK" w:cs="方正仿宋_GBK"/>
          <w:bCs/>
          <w:color w:val="000000"/>
          <w:sz w:val="28"/>
          <w:szCs w:val="28"/>
          <w:highlight w:val="none"/>
        </w:rPr>
        <w:t>月</w:t>
      </w:r>
    </w:p>
    <w:p>
      <w:pPr>
        <w:rPr>
          <w:rFonts w:hint="eastAsia" w:ascii="方正仿宋_GBK" w:hAnsi="方正仿宋_GBK" w:eastAsia="方正仿宋_GBK" w:cs="方正仿宋_GBK"/>
          <w:snapToGrid w:val="0"/>
          <w:color w:val="auto"/>
          <w:kern w:val="0"/>
          <w:sz w:val="32"/>
          <w:szCs w:val="32"/>
          <w:highlight w:val="none"/>
        </w:rPr>
      </w:pPr>
      <w:r>
        <w:rPr>
          <w:rFonts w:hint="eastAsia" w:ascii="方正仿宋_GBK" w:hAnsi="方正仿宋_GBK" w:eastAsia="方正仿宋_GBK" w:cs="方正仿宋_GBK"/>
          <w:snapToGrid w:val="0"/>
          <w:color w:val="auto"/>
          <w:kern w:val="0"/>
          <w:sz w:val="32"/>
          <w:szCs w:val="32"/>
          <w:highlight w:val="none"/>
        </w:rPr>
        <w:br w:type="page"/>
      </w:r>
    </w:p>
    <w:p>
      <w:pPr>
        <w:pStyle w:val="3"/>
        <w:snapToGrid w:val="0"/>
        <w:spacing w:before="0" w:line="360" w:lineRule="auto"/>
        <w:jc w:val="center"/>
        <w:rPr>
          <w:rFonts w:hint="eastAsia" w:ascii="方正仿宋_GBK" w:hAnsi="方正仿宋_GBK" w:eastAsia="方正仿宋_GBK" w:cs="方正仿宋_GBK"/>
          <w:b w:val="0"/>
          <w:color w:val="auto"/>
          <w:sz w:val="32"/>
          <w:szCs w:val="32"/>
          <w:highlight w:val="none"/>
        </w:rPr>
      </w:pPr>
      <w:bookmarkStart w:id="5" w:name="_Toc4556"/>
      <w:bookmarkStart w:id="6" w:name="_Toc28984"/>
      <w:r>
        <w:rPr>
          <w:rFonts w:hint="eastAsia" w:ascii="方正仿宋_GBK" w:hAnsi="方正仿宋_GBK" w:eastAsia="方正仿宋_GBK" w:cs="方正仿宋_GBK"/>
          <w:snapToGrid w:val="0"/>
          <w:color w:val="auto"/>
          <w:kern w:val="0"/>
          <w:sz w:val="32"/>
          <w:szCs w:val="32"/>
          <w:highlight w:val="none"/>
        </w:rPr>
        <w:t xml:space="preserve">第一部分 </w:t>
      </w:r>
      <w:r>
        <w:rPr>
          <w:rFonts w:hint="eastAsia" w:ascii="方正仿宋_GBK" w:hAnsi="方正仿宋_GBK" w:eastAsia="方正仿宋_GBK" w:cs="方正仿宋_GBK"/>
          <w:snapToGrid w:val="0"/>
          <w:color w:val="auto"/>
          <w:kern w:val="0"/>
          <w:sz w:val="32"/>
          <w:szCs w:val="32"/>
          <w:highlight w:val="none"/>
          <w:lang w:eastAsia="zh-CN"/>
        </w:rPr>
        <w:t>参选人</w:t>
      </w:r>
      <w:r>
        <w:rPr>
          <w:rFonts w:hint="eastAsia" w:ascii="方正仿宋_GBK" w:hAnsi="方正仿宋_GBK" w:eastAsia="方正仿宋_GBK" w:cs="方正仿宋_GBK"/>
          <w:snapToGrid w:val="0"/>
          <w:color w:val="auto"/>
          <w:kern w:val="0"/>
          <w:sz w:val="32"/>
          <w:szCs w:val="32"/>
          <w:highlight w:val="none"/>
        </w:rPr>
        <w:t>须知</w:t>
      </w:r>
      <w:bookmarkEnd w:id="0"/>
      <w:bookmarkEnd w:id="1"/>
      <w:bookmarkEnd w:id="5"/>
      <w:bookmarkEnd w:id="6"/>
    </w:p>
    <w:p>
      <w:pPr>
        <w:pStyle w:val="5"/>
        <w:spacing w:line="360" w:lineRule="auto"/>
        <w:rPr>
          <w:rFonts w:hint="eastAsia" w:ascii="方正仿宋_GBK" w:hAnsi="方正仿宋_GBK" w:eastAsia="方正仿宋_GBK" w:cs="方正仿宋_GBK"/>
          <w:color w:val="auto"/>
          <w:sz w:val="28"/>
          <w:szCs w:val="28"/>
          <w:highlight w:val="none"/>
        </w:rPr>
      </w:pPr>
      <w:bookmarkStart w:id="7" w:name="_Toc9959"/>
      <w:bookmarkStart w:id="8" w:name="_Toc6707"/>
      <w:bookmarkStart w:id="9" w:name="_Toc1012"/>
      <w:bookmarkStart w:id="10" w:name="_Toc2782"/>
      <w:r>
        <w:rPr>
          <w:rFonts w:hint="eastAsia" w:ascii="方正仿宋_GBK" w:hAnsi="方正仿宋_GBK" w:eastAsia="方正仿宋_GBK" w:cs="方正仿宋_GBK"/>
          <w:color w:val="auto"/>
          <w:sz w:val="28"/>
          <w:szCs w:val="28"/>
          <w:highlight w:val="none"/>
        </w:rPr>
        <w:t>1.</w:t>
      </w:r>
      <w:bookmarkEnd w:id="7"/>
      <w:bookmarkEnd w:id="8"/>
      <w:bookmarkEnd w:id="9"/>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资格要求</w:t>
      </w:r>
      <w:bookmarkEnd w:id="10"/>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1.1 参选人需提供其拥有增值税一般纳税人资格的证明文件，提供以下①、②、③、④项之一证明文件均可：</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①《增值税一般纳税人资格登记表》或《一般纳税人资格证书》复印件；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②加盖“增值税一般纳税人”章的《税务登记证》副本复印件；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③已办理“三证合一”的企业需提供由其主管国税机关出具的一般纳税人税务事项通知书复印件；</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④税务机关官方网站上的查询结果截图或税务机关出具的其他证明材料。</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1.2参选人需提供2018年、2019年、2020年或近三年的资产负债表、利润表、现金流量表，且企业财务状况不亏损。</w:t>
      </w:r>
    </w:p>
    <w:p>
      <w:pPr>
        <w:spacing w:line="360" w:lineRule="auto"/>
        <w:ind w:firstLine="521"/>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1.3参选人为代理商，需提供</w:t>
      </w:r>
      <w:r>
        <w:rPr>
          <w:rFonts w:hint="eastAsia" w:ascii="方正仿宋_GBK" w:hAnsi="方正仿宋_GBK" w:eastAsia="方正仿宋_GBK" w:cs="方正仿宋_GBK"/>
          <w:color w:val="auto"/>
          <w:sz w:val="28"/>
          <w:szCs w:val="28"/>
          <w:highlight w:val="none"/>
        </w:rPr>
        <w:t>制造商</w:t>
      </w:r>
      <w:r>
        <w:rPr>
          <w:rFonts w:hint="eastAsia" w:ascii="方正仿宋_GBK" w:hAnsi="方正仿宋_GBK" w:eastAsia="方正仿宋_GBK" w:cs="方正仿宋_GBK"/>
          <w:color w:val="auto"/>
          <w:sz w:val="28"/>
          <w:szCs w:val="28"/>
          <w:highlight w:val="none"/>
          <w:lang w:val="en-US" w:eastAsia="zh-CN"/>
        </w:rPr>
        <w:t>项目授权书。</w:t>
      </w:r>
    </w:p>
    <w:p>
      <w:pPr>
        <w:spacing w:line="360" w:lineRule="auto"/>
        <w:ind w:firstLine="521"/>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color w:val="auto"/>
          <w:sz w:val="28"/>
          <w:szCs w:val="28"/>
          <w:highlight w:val="none"/>
          <w:lang w:val="en-US" w:eastAsia="zh-CN"/>
        </w:rPr>
        <w:t>1.4需提供</w:t>
      </w:r>
      <w:r>
        <w:rPr>
          <w:rFonts w:hint="eastAsia" w:ascii="方正仿宋_GBK" w:hAnsi="方正仿宋_GBK" w:eastAsia="方正仿宋_GBK" w:cs="方正仿宋_GBK"/>
          <w:color w:val="auto"/>
          <w:sz w:val="28"/>
          <w:szCs w:val="28"/>
          <w:highlight w:val="none"/>
        </w:rPr>
        <w:t>制造商有效的ISO9001质量体系认证、ISO14001环境管理体系OHSAS18001职业健康安全管理体系；企业注册资金应不低于1000万元人民币</w:t>
      </w:r>
      <w:r>
        <w:rPr>
          <w:rFonts w:hint="eastAsia" w:ascii="方正仿宋_GBK" w:hAnsi="方正仿宋_GBK" w:eastAsia="方正仿宋_GBK" w:cs="方正仿宋_GBK"/>
          <w:color w:val="auto"/>
          <w:sz w:val="28"/>
          <w:szCs w:val="28"/>
          <w:highlight w:val="none"/>
          <w:lang w:eastAsia="zh-CN"/>
        </w:rPr>
        <w:t>。</w:t>
      </w:r>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1.5参选人应提供至少1条及以上，5年内城市轨道交通（或铁路或机场或大型场馆）工程复合风管的供货业绩，且业绩合同金额不低于100万元。需提供业绩合同复印件加盖参选单位鲜公章或其他业绩证明材料。。</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一切有关的费用，均由参选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 xml:space="preserve">自理。 </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参比</w:t>
      </w:r>
      <w:r>
        <w:rPr>
          <w:rFonts w:hint="eastAsia" w:ascii="方正仿宋_GBK" w:hAnsi="方正仿宋_GBK" w:eastAsia="方正仿宋_GBK" w:cs="方正仿宋_GBK"/>
          <w:color w:val="auto"/>
          <w:sz w:val="28"/>
          <w:szCs w:val="28"/>
          <w:highlight w:val="none"/>
          <w:lang w:val="en-US" w:eastAsia="zh-CN"/>
        </w:rPr>
        <w:t>文件</w:t>
      </w:r>
      <w:r>
        <w:rPr>
          <w:rFonts w:hint="eastAsia" w:ascii="方正仿宋_GBK" w:hAnsi="方正仿宋_GBK" w:eastAsia="方正仿宋_GBK" w:cs="方正仿宋_GBK"/>
          <w:color w:val="auto"/>
          <w:sz w:val="28"/>
          <w:szCs w:val="28"/>
          <w:highlight w:val="none"/>
        </w:rPr>
        <w:t>应整洁,字迹清晰, 并装订成册。</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highlight w:val="none"/>
        </w:rPr>
        <w:t xml:space="preserve"> 若对比选文件有异议，请</w:t>
      </w:r>
      <w:r>
        <w:rPr>
          <w:rFonts w:hint="eastAsia" w:ascii="方正仿宋_GBK" w:hAnsi="方正仿宋_GBK" w:eastAsia="方正仿宋_GBK" w:cs="方正仿宋_GBK"/>
          <w:color w:val="auto"/>
          <w:sz w:val="28"/>
          <w:szCs w:val="28"/>
          <w:highlight w:val="none"/>
          <w:lang w:eastAsia="zh-CN"/>
        </w:rPr>
        <w:t>比选文件提交前提前</w:t>
      </w:r>
      <w:r>
        <w:rPr>
          <w:rFonts w:hint="eastAsia" w:ascii="方正仿宋_GBK" w:hAnsi="方正仿宋_GBK" w:eastAsia="方正仿宋_GBK" w:cs="方正仿宋_GBK"/>
          <w:color w:val="auto"/>
          <w:sz w:val="28"/>
          <w:szCs w:val="28"/>
          <w:highlight w:val="none"/>
          <w:lang w:val="en-US" w:eastAsia="zh-CN"/>
        </w:rPr>
        <w:t>2天提质疑，</w:t>
      </w:r>
      <w:r>
        <w:rPr>
          <w:rFonts w:hint="eastAsia" w:ascii="方正仿宋_GBK" w:hAnsi="方正仿宋_GBK" w:eastAsia="方正仿宋_GBK" w:cs="方正仿宋_GBK"/>
          <w:color w:val="auto"/>
          <w:sz w:val="28"/>
          <w:szCs w:val="28"/>
          <w:highlight w:val="none"/>
        </w:rPr>
        <w:t>与</w:t>
      </w:r>
      <w:r>
        <w:rPr>
          <w:rFonts w:hint="eastAsia" w:ascii="方正仿宋_GBK" w:hAnsi="方正仿宋_GBK" w:eastAsia="方正仿宋_GBK" w:cs="方正仿宋_GBK"/>
          <w:color w:val="000000"/>
          <w:sz w:val="28"/>
          <w:szCs w:val="28"/>
          <w:highlight w:val="none"/>
          <w:lang w:val="en-US" w:eastAsia="zh-CN"/>
        </w:rPr>
        <w:t>王蕾 18602383621 、</w:t>
      </w:r>
      <w:r>
        <w:rPr>
          <w:rFonts w:hint="eastAsia" w:ascii="方正仿宋_GBK" w:hAnsi="方正仿宋_GBK" w:eastAsia="方正仿宋_GBK" w:cs="方正仿宋_GBK"/>
          <w:color w:val="auto"/>
          <w:sz w:val="28"/>
          <w:szCs w:val="28"/>
          <w:highlight w:val="none"/>
        </w:rPr>
        <w:t>周鹏：18580555345联系</w:t>
      </w:r>
      <w:r>
        <w:rPr>
          <w:rFonts w:hint="eastAsia" w:ascii="方正仿宋_GBK" w:hAnsi="方正仿宋_GBK" w:eastAsia="方正仿宋_GBK" w:cs="方正仿宋_GBK"/>
          <w:color w:val="auto"/>
          <w:sz w:val="28"/>
          <w:szCs w:val="28"/>
          <w:highlight w:val="none"/>
          <w:lang w:eastAsia="zh-CN"/>
        </w:rPr>
        <w:t>。</w:t>
      </w:r>
    </w:p>
    <w:p>
      <w:pPr>
        <w:pStyle w:val="5"/>
        <w:spacing w:line="360" w:lineRule="auto"/>
        <w:rPr>
          <w:rFonts w:hint="eastAsia" w:ascii="方正仿宋_GBK" w:hAnsi="方正仿宋_GBK" w:eastAsia="方正仿宋_GBK" w:cs="方正仿宋_GBK"/>
          <w:color w:val="auto"/>
          <w:sz w:val="28"/>
          <w:szCs w:val="28"/>
          <w:highlight w:val="none"/>
        </w:rPr>
      </w:pPr>
      <w:bookmarkStart w:id="11" w:name="_Toc7439"/>
      <w:bookmarkStart w:id="12" w:name="_Toc11277"/>
      <w:bookmarkStart w:id="13" w:name="_Toc26379"/>
      <w:bookmarkStart w:id="14" w:name="_Toc10274"/>
      <w:r>
        <w:rPr>
          <w:rFonts w:hint="eastAsia" w:ascii="方正仿宋_GBK" w:hAnsi="方正仿宋_GBK" w:eastAsia="方正仿宋_GBK" w:cs="方正仿宋_GBK"/>
          <w:color w:val="auto"/>
          <w:sz w:val="28"/>
          <w:szCs w:val="28"/>
          <w:highlight w:val="none"/>
        </w:rPr>
        <w:t>2.形式</w:t>
      </w:r>
      <w:bookmarkEnd w:id="11"/>
      <w:bookmarkEnd w:id="12"/>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比选</w:t>
      </w:r>
      <w:bookmarkEnd w:id="13"/>
      <w:bookmarkEnd w:id="14"/>
    </w:p>
    <w:p>
      <w:pPr>
        <w:pStyle w:val="5"/>
        <w:spacing w:line="360" w:lineRule="auto"/>
        <w:rPr>
          <w:rFonts w:hint="eastAsia" w:ascii="方正仿宋_GBK" w:hAnsi="方正仿宋_GBK" w:eastAsia="方正仿宋_GBK" w:cs="方正仿宋_GBK"/>
          <w:color w:val="auto"/>
          <w:sz w:val="28"/>
          <w:szCs w:val="28"/>
          <w:highlight w:val="none"/>
        </w:rPr>
      </w:pPr>
      <w:bookmarkStart w:id="15" w:name="_Toc8005"/>
      <w:bookmarkStart w:id="16" w:name="_Toc13720"/>
      <w:bookmarkStart w:id="17" w:name="_Toc21881"/>
      <w:bookmarkStart w:id="18" w:name="_Toc905"/>
      <w:r>
        <w:rPr>
          <w:rFonts w:hint="eastAsia" w:ascii="方正仿宋_GBK" w:hAnsi="方正仿宋_GBK" w:eastAsia="方正仿宋_GBK" w:cs="方正仿宋_GBK"/>
          <w:color w:val="auto"/>
          <w:sz w:val="28"/>
          <w:szCs w:val="28"/>
          <w:highlight w:val="none"/>
        </w:rPr>
        <w:t>3.比选日程安排</w:t>
      </w:r>
      <w:bookmarkEnd w:id="15"/>
      <w:bookmarkEnd w:id="16"/>
      <w:bookmarkEnd w:id="17"/>
      <w:bookmarkEnd w:id="18"/>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3.1 20</w:t>
      </w:r>
      <w:r>
        <w:rPr>
          <w:rFonts w:hint="eastAsia" w:ascii="方正仿宋_GBK" w:hAnsi="方正仿宋_GBK" w:eastAsia="方正仿宋_GBK" w:cs="方正仿宋_GBK"/>
          <w:color w:val="auto"/>
          <w:sz w:val="28"/>
          <w:szCs w:val="28"/>
          <w:highlight w:val="none"/>
          <w:lang w:val="en-US" w:eastAsia="zh-CN"/>
        </w:rPr>
        <w:t>22</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18</w:t>
      </w:r>
      <w:r>
        <w:rPr>
          <w:rFonts w:hint="eastAsia" w:ascii="方正仿宋_GBK" w:hAnsi="方正仿宋_GBK" w:eastAsia="方正仿宋_GBK" w:cs="方正仿宋_GBK"/>
          <w:color w:val="auto"/>
          <w:sz w:val="28"/>
          <w:szCs w:val="28"/>
          <w:highlight w:val="none"/>
        </w:rPr>
        <w:t xml:space="preserve">日 </w:t>
      </w:r>
      <w:r>
        <w:rPr>
          <w:rFonts w:hint="eastAsia" w:ascii="方正仿宋_GBK" w:hAnsi="方正仿宋_GBK" w:eastAsia="方正仿宋_GBK" w:cs="方正仿宋_GBK"/>
          <w:color w:val="auto"/>
          <w:sz w:val="28"/>
          <w:szCs w:val="28"/>
          <w:highlight w:val="none"/>
          <w:lang w:val="en-US" w:eastAsia="zh-CN"/>
        </w:rPr>
        <w:t>17</w:t>
      </w:r>
      <w:r>
        <w:rPr>
          <w:rFonts w:hint="eastAsia" w:ascii="方正仿宋_GBK" w:hAnsi="方正仿宋_GBK" w:eastAsia="方正仿宋_GBK" w:cs="方正仿宋_GBK"/>
          <w:color w:val="auto"/>
          <w:sz w:val="28"/>
          <w:szCs w:val="28"/>
          <w:highlight w:val="none"/>
        </w:rPr>
        <w:t>点</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0分（北京时间）前参选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将参选文件密封送达至比选人处（地址：重庆市北部新区黄山大道中段信达国际A座17</w:t>
      </w:r>
      <w:r>
        <w:rPr>
          <w:rFonts w:hint="eastAsia" w:ascii="方正仿宋_GBK" w:hAnsi="方正仿宋_GBK" w:eastAsia="方正仿宋_GBK" w:cs="方正仿宋_GBK"/>
          <w:color w:val="auto"/>
          <w:sz w:val="28"/>
          <w:szCs w:val="28"/>
          <w:highlight w:val="none"/>
          <w:lang w:val="en-US" w:eastAsia="zh-CN"/>
        </w:rPr>
        <w:t>楼1715室</w:t>
      </w:r>
      <w:r>
        <w:rPr>
          <w:rFonts w:hint="eastAsia" w:ascii="方正仿宋_GBK" w:hAnsi="方正仿宋_GBK" w:eastAsia="方正仿宋_GBK" w:cs="方正仿宋_GBK"/>
          <w:color w:val="auto"/>
          <w:sz w:val="28"/>
          <w:szCs w:val="28"/>
          <w:highlight w:val="none"/>
        </w:rPr>
        <w:t>）。</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r>
        <w:rPr>
          <w:rFonts w:hint="eastAsia" w:ascii="方正仿宋_GBK" w:hAnsi="方正仿宋_GBK" w:eastAsia="方正仿宋_GBK" w:cs="方正仿宋_GBK"/>
          <w:color w:val="000000"/>
          <w:sz w:val="28"/>
          <w:szCs w:val="28"/>
          <w:highlight w:val="none"/>
          <w:lang w:val="en-US" w:eastAsia="zh-CN"/>
        </w:rPr>
        <w:t>王蕾 18602383621</w:t>
      </w:r>
      <w:r>
        <w:rPr>
          <w:rFonts w:hint="eastAsia" w:ascii="方正仿宋_GBK" w:hAnsi="方正仿宋_GBK" w:eastAsia="方正仿宋_GBK" w:cs="方正仿宋_GBK"/>
          <w:color w:val="auto"/>
          <w:sz w:val="28"/>
          <w:szCs w:val="28"/>
          <w:highlight w:val="none"/>
        </w:rPr>
        <w:t xml:space="preserve"> 。</w:t>
      </w:r>
    </w:p>
    <w:p>
      <w:pPr>
        <w:spacing w:line="360" w:lineRule="auto"/>
        <w:ind w:firstLine="607" w:firstLineChars="217"/>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2开标评审时间为</w:t>
      </w:r>
      <w:r>
        <w:rPr>
          <w:rFonts w:hint="eastAsia" w:ascii="方正仿宋_GBK" w:hAnsi="方正仿宋_GBK" w:eastAsia="方正仿宋_GBK" w:cs="方正仿宋_GBK"/>
          <w:color w:val="auto"/>
          <w:sz w:val="28"/>
          <w:szCs w:val="28"/>
          <w:highlight w:val="none"/>
        </w:rPr>
        <w:t>20</w:t>
      </w:r>
      <w:r>
        <w:rPr>
          <w:rFonts w:hint="eastAsia" w:ascii="方正仿宋_GBK" w:hAnsi="方正仿宋_GBK" w:eastAsia="方正仿宋_GBK" w:cs="方正仿宋_GBK"/>
          <w:color w:val="auto"/>
          <w:sz w:val="28"/>
          <w:szCs w:val="28"/>
          <w:highlight w:val="none"/>
          <w:lang w:val="en-US" w:eastAsia="zh-CN"/>
        </w:rPr>
        <w:t>22</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月</w:t>
      </w:r>
      <w:r>
        <w:rPr>
          <w:rFonts w:hint="eastAsia" w:ascii="方正仿宋_GBK" w:hAnsi="方正仿宋_GBK" w:eastAsia="方正仿宋_GBK" w:cs="方正仿宋_GBK"/>
          <w:color w:val="auto"/>
          <w:sz w:val="28"/>
          <w:szCs w:val="28"/>
          <w:highlight w:val="none"/>
          <w:lang w:val="en-US" w:eastAsia="zh-CN"/>
        </w:rPr>
        <w:t>18</w:t>
      </w:r>
      <w:r>
        <w:rPr>
          <w:rFonts w:hint="eastAsia" w:ascii="方正仿宋_GBK" w:hAnsi="方正仿宋_GBK" w:eastAsia="方正仿宋_GBK" w:cs="方正仿宋_GBK"/>
          <w:color w:val="auto"/>
          <w:sz w:val="28"/>
          <w:szCs w:val="28"/>
          <w:highlight w:val="none"/>
        </w:rPr>
        <w:t>日</w:t>
      </w:r>
      <w:r>
        <w:rPr>
          <w:rFonts w:hint="eastAsia" w:ascii="方正仿宋_GBK" w:hAnsi="方正仿宋_GBK" w:eastAsia="方正仿宋_GBK" w:cs="方正仿宋_GBK"/>
          <w:color w:val="auto"/>
          <w:sz w:val="28"/>
          <w:szCs w:val="28"/>
          <w:highlight w:val="none"/>
          <w:lang w:val="en-US" w:eastAsia="zh-CN"/>
        </w:rPr>
        <w:t>17</w:t>
      </w:r>
      <w:r>
        <w:rPr>
          <w:rFonts w:hint="eastAsia" w:ascii="方正仿宋_GBK" w:hAnsi="方正仿宋_GBK" w:eastAsia="方正仿宋_GBK" w:cs="方正仿宋_GBK"/>
          <w:color w:val="auto"/>
          <w:sz w:val="28"/>
          <w:szCs w:val="28"/>
          <w:highlight w:val="none"/>
        </w:rPr>
        <w:t>点</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0分（北京时间）</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暂定</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，并在评审决议后3个工作日内</w:t>
      </w:r>
      <w:r>
        <w:rPr>
          <w:rFonts w:hint="eastAsia" w:ascii="方正仿宋_GBK" w:hAnsi="方正仿宋_GBK" w:eastAsia="方正仿宋_GBK" w:cs="方正仿宋_GBK"/>
          <w:color w:val="auto"/>
          <w:sz w:val="28"/>
          <w:szCs w:val="28"/>
          <w:highlight w:val="none"/>
          <w:lang w:val="en-US" w:eastAsia="zh-CN"/>
        </w:rPr>
        <w:t>比选人向中选人发出中选通知文件（比选人不再向其他未中选的参选人发送通知文件），通知中选人签订正式合同</w:t>
      </w:r>
      <w:r>
        <w:rPr>
          <w:rFonts w:hint="eastAsia" w:ascii="方正仿宋_GBK" w:hAnsi="方正仿宋_GBK" w:eastAsia="方正仿宋_GBK" w:cs="方正仿宋_GBK"/>
          <w:color w:val="auto"/>
          <w:sz w:val="28"/>
          <w:szCs w:val="28"/>
          <w:highlight w:val="none"/>
        </w:rPr>
        <w:t>。</w:t>
      </w:r>
    </w:p>
    <w:p>
      <w:pPr>
        <w:pStyle w:val="5"/>
        <w:spacing w:line="360" w:lineRule="auto"/>
        <w:rPr>
          <w:rFonts w:hint="eastAsia" w:ascii="方正仿宋_GBK" w:hAnsi="方正仿宋_GBK" w:eastAsia="方正仿宋_GBK" w:cs="方正仿宋_GBK"/>
          <w:color w:val="auto"/>
          <w:sz w:val="28"/>
          <w:szCs w:val="28"/>
          <w:highlight w:val="none"/>
          <w:lang w:val="en-US" w:eastAsia="zh-CN"/>
        </w:rPr>
      </w:pPr>
      <w:bookmarkStart w:id="19" w:name="_Toc28370"/>
      <w:bookmarkStart w:id="20" w:name="_Toc14039"/>
      <w:bookmarkStart w:id="21" w:name="_Toc27069"/>
      <w:bookmarkStart w:id="22" w:name="_Toc31662"/>
      <w:r>
        <w:rPr>
          <w:rFonts w:hint="eastAsia" w:ascii="方正仿宋_GBK" w:hAnsi="方正仿宋_GBK" w:eastAsia="方正仿宋_GBK" w:cs="方正仿宋_GBK"/>
          <w:color w:val="auto"/>
          <w:sz w:val="28"/>
          <w:szCs w:val="28"/>
          <w:highlight w:val="none"/>
        </w:rPr>
        <w:t>4.参选内容</w:t>
      </w:r>
      <w:bookmarkEnd w:id="19"/>
      <w:bookmarkEnd w:id="20"/>
      <w:r>
        <w:rPr>
          <w:rFonts w:hint="eastAsia" w:ascii="方正仿宋_GBK" w:hAnsi="方正仿宋_GBK" w:eastAsia="方正仿宋_GBK" w:cs="方正仿宋_GBK"/>
          <w:color w:val="auto"/>
          <w:sz w:val="28"/>
          <w:szCs w:val="28"/>
          <w:highlight w:val="none"/>
          <w:lang w:val="en-US" w:eastAsia="zh-CN"/>
        </w:rPr>
        <w:t>工程清单</w:t>
      </w:r>
      <w:bookmarkEnd w:id="21"/>
      <w:bookmarkEnd w:id="22"/>
    </w:p>
    <w:p>
      <w:pPr>
        <w:spacing w:line="360" w:lineRule="auto"/>
        <w:ind w:firstLine="630" w:firstLineChars="225"/>
        <w:rPr>
          <w:rFonts w:hint="eastAsia" w:ascii="方正仿宋_GBK" w:hAnsi="方正仿宋_GBK" w:eastAsia="方正仿宋_GBK" w:cs="方正仿宋_GBK"/>
          <w:color w:val="auto"/>
          <w:sz w:val="28"/>
          <w:szCs w:val="28"/>
          <w:highlight w:val="none"/>
        </w:rPr>
      </w:pPr>
      <w:bookmarkStart w:id="23" w:name="_Toc28899"/>
      <w:bookmarkStart w:id="24" w:name="_Toc31668"/>
      <w:r>
        <w:rPr>
          <w:rFonts w:hint="eastAsia" w:ascii="方正仿宋_GBK" w:hAnsi="方正仿宋_GBK" w:eastAsia="方正仿宋_GBK" w:cs="方正仿宋_GBK"/>
          <w:color w:val="auto"/>
          <w:sz w:val="28"/>
          <w:szCs w:val="28"/>
          <w:highlight w:val="none"/>
        </w:rPr>
        <w:t>4.1 工程量清单</w:t>
      </w:r>
    </w:p>
    <w:tbl>
      <w:tblPr>
        <w:tblStyle w:val="25"/>
        <w:tblW w:w="8426" w:type="dxa"/>
        <w:tblInd w:w="234" w:type="dxa"/>
        <w:shd w:val="clear" w:color="auto" w:fill="auto"/>
        <w:tblLayout w:type="autofit"/>
        <w:tblCellMar>
          <w:top w:w="0" w:type="dxa"/>
          <w:left w:w="0" w:type="dxa"/>
          <w:bottom w:w="0" w:type="dxa"/>
          <w:right w:w="0" w:type="dxa"/>
        </w:tblCellMar>
      </w:tblPr>
      <w:tblGrid>
        <w:gridCol w:w="569"/>
        <w:gridCol w:w="2903"/>
        <w:gridCol w:w="1842"/>
        <w:gridCol w:w="800"/>
        <w:gridCol w:w="1237"/>
        <w:gridCol w:w="1075"/>
      </w:tblGrid>
      <w:tr>
        <w:tblPrEx>
          <w:shd w:val="clear" w:color="auto" w:fill="auto"/>
          <w:tblCellMar>
            <w:top w:w="0" w:type="dxa"/>
            <w:left w:w="0" w:type="dxa"/>
            <w:bottom w:w="0" w:type="dxa"/>
            <w:right w:w="0" w:type="dxa"/>
          </w:tblCellMar>
        </w:tblPrEx>
        <w:trPr>
          <w:trHeight w:val="48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序号</w:t>
            </w: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设备材料名称</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技术指标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单位</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57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1</w:t>
            </w:r>
          </w:p>
        </w:tc>
        <w:tc>
          <w:tcPr>
            <w:tcW w:w="29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双层彩钢复合风管</w:t>
            </w:r>
          </w:p>
        </w:tc>
        <w:tc>
          <w:tcPr>
            <w:tcW w:w="1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耐火极限1小时</w:t>
            </w: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m²</w:t>
            </w:r>
          </w:p>
        </w:tc>
        <w:tc>
          <w:tcPr>
            <w:tcW w:w="12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22399.31</w:t>
            </w:r>
          </w:p>
        </w:tc>
        <w:tc>
          <w:tcPr>
            <w:tcW w:w="10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p>
        </w:tc>
      </w:tr>
    </w:tbl>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工程量清单为暂定工程量，结算以实际供货验收合格的数量为准。</w:t>
      </w:r>
    </w:p>
    <w:p>
      <w:pPr>
        <w:tabs>
          <w:tab w:val="left" w:pos="4155"/>
        </w:tabs>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4.2 供货时间</w:t>
      </w:r>
    </w:p>
    <w:p>
      <w:pPr>
        <w:tabs>
          <w:tab w:val="left" w:pos="4155"/>
        </w:tabs>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中选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收到订单后，</w:t>
      </w:r>
      <w:r>
        <w:rPr>
          <w:rFonts w:hint="eastAsia" w:ascii="方正仿宋_GBK" w:hAnsi="方正仿宋_GBK" w:eastAsia="方正仿宋_GBK" w:cs="方正仿宋_GBK"/>
          <w:color w:val="auto"/>
          <w:sz w:val="28"/>
          <w:szCs w:val="28"/>
          <w:highlight w:val="none"/>
          <w:lang w:val="en-US" w:eastAsia="zh-CN"/>
        </w:rPr>
        <w:t>15</w:t>
      </w:r>
      <w:r>
        <w:rPr>
          <w:rFonts w:hint="eastAsia" w:ascii="方正仿宋_GBK" w:hAnsi="方正仿宋_GBK" w:eastAsia="方正仿宋_GBK" w:cs="方正仿宋_GBK"/>
          <w:color w:val="auto"/>
          <w:sz w:val="28"/>
          <w:szCs w:val="28"/>
          <w:highlight w:val="none"/>
        </w:rPr>
        <w:t>个日历</w:t>
      </w:r>
      <w:r>
        <w:rPr>
          <w:rFonts w:hint="eastAsia" w:ascii="方正仿宋_GBK" w:hAnsi="方正仿宋_GBK" w:eastAsia="方正仿宋_GBK" w:cs="方正仿宋_GBK"/>
          <w:color w:val="auto"/>
          <w:sz w:val="28"/>
          <w:szCs w:val="28"/>
          <w:highlight w:val="none"/>
          <w:lang w:val="en-US" w:eastAsia="zh-CN"/>
        </w:rPr>
        <w:t>天</w:t>
      </w:r>
      <w:r>
        <w:rPr>
          <w:rFonts w:hint="eastAsia" w:ascii="方正仿宋_GBK" w:hAnsi="方正仿宋_GBK" w:eastAsia="方正仿宋_GBK" w:cs="方正仿宋_GBK"/>
          <w:color w:val="auto"/>
          <w:sz w:val="28"/>
          <w:szCs w:val="28"/>
          <w:highlight w:val="none"/>
        </w:rPr>
        <w:t>内完成交货。</w:t>
      </w:r>
    </w:p>
    <w:p>
      <w:pPr>
        <w:pStyle w:val="5"/>
        <w:numPr>
          <w:ilvl w:val="0"/>
          <w:numId w:val="2"/>
        </w:numPr>
        <w:spacing w:line="360" w:lineRule="auto"/>
        <w:rPr>
          <w:rFonts w:hint="eastAsia" w:ascii="方正仿宋_GBK" w:hAnsi="方正仿宋_GBK" w:eastAsia="方正仿宋_GBK" w:cs="方正仿宋_GBK"/>
          <w:color w:val="auto"/>
          <w:sz w:val="28"/>
          <w:szCs w:val="28"/>
          <w:highlight w:val="none"/>
        </w:rPr>
      </w:pPr>
      <w:bookmarkStart w:id="25" w:name="_Toc23134"/>
      <w:bookmarkStart w:id="26" w:name="_Toc18536"/>
      <w:bookmarkStart w:id="27" w:name="_Toc32682"/>
      <w:bookmarkStart w:id="28" w:name="_Toc17242"/>
      <w:r>
        <w:rPr>
          <w:rFonts w:hint="eastAsia" w:ascii="方正仿宋_GBK" w:hAnsi="方正仿宋_GBK" w:eastAsia="方正仿宋_GBK" w:cs="方正仿宋_GBK"/>
          <w:color w:val="auto"/>
          <w:sz w:val="28"/>
          <w:szCs w:val="28"/>
          <w:highlight w:val="none"/>
        </w:rPr>
        <w:t>比选控制价</w:t>
      </w:r>
      <w:bookmarkEnd w:id="25"/>
      <w:bookmarkEnd w:id="26"/>
    </w:p>
    <w:p>
      <w:pPr>
        <w:ind w:firstLine="560" w:firstLineChars="20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本次比选文件控制价</w:t>
      </w:r>
      <w:r>
        <w:rPr>
          <w:rFonts w:hint="eastAsia" w:ascii="方正仿宋_GBK" w:hAnsi="方正仿宋_GBK" w:eastAsia="方正仿宋_GBK" w:cs="方正仿宋_GBK"/>
          <w:color w:val="auto"/>
          <w:sz w:val="28"/>
          <w:szCs w:val="28"/>
          <w:highlight w:val="none"/>
          <w:u w:val="single"/>
        </w:rPr>
        <w:t xml:space="preserve"> </w:t>
      </w:r>
      <w:r>
        <w:rPr>
          <w:rFonts w:hint="eastAsia" w:ascii="方正仿宋_GBK" w:hAnsi="方正仿宋_GBK" w:eastAsia="方正仿宋_GBK" w:cs="方正仿宋_GBK"/>
          <w:color w:val="auto"/>
          <w:sz w:val="28"/>
          <w:szCs w:val="28"/>
          <w:highlight w:val="none"/>
          <w:u w:val="single"/>
          <w:lang w:val="en-US" w:eastAsia="zh-CN"/>
        </w:rPr>
        <w:t xml:space="preserve">3987077.18 </w:t>
      </w:r>
      <w:r>
        <w:rPr>
          <w:rFonts w:hint="eastAsia" w:ascii="方正仿宋_GBK" w:hAnsi="方正仿宋_GBK" w:eastAsia="方正仿宋_GBK" w:cs="方正仿宋_GBK"/>
          <w:color w:val="auto"/>
          <w:sz w:val="28"/>
          <w:szCs w:val="28"/>
          <w:highlight w:val="none"/>
        </w:rPr>
        <w:t>元</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参选人最终报价单价及总价不得高于比选控制价。</w:t>
      </w:r>
    </w:p>
    <w:tbl>
      <w:tblPr>
        <w:tblStyle w:val="25"/>
        <w:tblW w:w="9746" w:type="dxa"/>
        <w:tblInd w:w="-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2338"/>
        <w:gridCol w:w="1212"/>
        <w:gridCol w:w="750"/>
        <w:gridCol w:w="1217"/>
        <w:gridCol w:w="1663"/>
        <w:gridCol w:w="1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序号</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设备材料名称</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技术指标</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单位</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数量</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单价控制价（13%税）</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总价控制价</w:t>
            </w:r>
          </w:p>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（13%税）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1</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双层彩钢复合风管</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耐火极限1小时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m²</w:t>
            </w:r>
          </w:p>
        </w:tc>
        <w:tc>
          <w:tcPr>
            <w:tcW w:w="1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22399.31</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178.00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4"/>
                <w:szCs w:val="24"/>
                <w:u w:val="none"/>
                <w:lang w:val="en-US" w:eastAsia="zh-CN" w:bidi="ar"/>
              </w:rPr>
            </w:pPr>
            <w:r>
              <w:rPr>
                <w:rFonts w:hint="eastAsia" w:ascii="方正仿宋_GBK" w:hAnsi="方正仿宋_GBK" w:eastAsia="方正仿宋_GBK" w:cs="方正仿宋_GBK"/>
                <w:i w:val="0"/>
                <w:color w:val="000000"/>
                <w:kern w:val="0"/>
                <w:sz w:val="24"/>
                <w:szCs w:val="24"/>
                <w:u w:val="none"/>
                <w:lang w:val="en-US" w:eastAsia="zh-CN" w:bidi="ar"/>
              </w:rPr>
              <w:t>3987077.18</w:t>
            </w:r>
          </w:p>
        </w:tc>
      </w:tr>
    </w:tbl>
    <w:p>
      <w:pPr>
        <w:pStyle w:val="5"/>
        <w:spacing w:line="360" w:lineRule="auto"/>
        <w:rPr>
          <w:rFonts w:hint="eastAsia" w:ascii="方正仿宋_GBK" w:hAnsi="方正仿宋_GBK" w:eastAsia="方正仿宋_GBK" w:cs="方正仿宋_GBK"/>
          <w:color w:val="auto"/>
          <w:sz w:val="28"/>
          <w:szCs w:val="28"/>
          <w:highlight w:val="none"/>
        </w:rPr>
      </w:pPr>
      <w:bookmarkStart w:id="29" w:name="_Toc3680"/>
      <w:bookmarkStart w:id="30" w:name="_Toc28654"/>
      <w:r>
        <w:rPr>
          <w:rFonts w:hint="eastAsia" w:ascii="方正仿宋_GBK" w:hAnsi="方正仿宋_GBK" w:eastAsia="方正仿宋_GBK" w:cs="方正仿宋_GBK"/>
          <w:color w:val="auto"/>
          <w:sz w:val="28"/>
          <w:szCs w:val="28"/>
          <w:highlight w:val="none"/>
        </w:rPr>
        <w:t>6.技术要求</w:t>
      </w:r>
      <w:bookmarkEnd w:id="27"/>
      <w:bookmarkEnd w:id="28"/>
      <w:bookmarkEnd w:id="29"/>
      <w:bookmarkEnd w:id="30"/>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    详见第二部分“技术要求”。</w:t>
      </w:r>
      <w:r>
        <w:rPr>
          <w:rFonts w:hint="eastAsia" w:ascii="方正仿宋_GBK" w:hAnsi="方正仿宋_GBK" w:eastAsia="方正仿宋_GBK" w:cs="方正仿宋_GBK"/>
          <w:color w:val="auto"/>
          <w:sz w:val="28"/>
          <w:szCs w:val="28"/>
          <w:highlight w:val="none"/>
        </w:rPr>
        <w:tab/>
      </w:r>
    </w:p>
    <w:p>
      <w:pPr>
        <w:pStyle w:val="5"/>
        <w:spacing w:line="360" w:lineRule="auto"/>
        <w:rPr>
          <w:rFonts w:hint="eastAsia" w:ascii="方正仿宋_GBK" w:hAnsi="方正仿宋_GBK" w:eastAsia="方正仿宋_GBK" w:cs="方正仿宋_GBK"/>
          <w:color w:val="auto"/>
          <w:sz w:val="28"/>
          <w:szCs w:val="28"/>
          <w:highlight w:val="none"/>
        </w:rPr>
      </w:pPr>
      <w:bookmarkStart w:id="31" w:name="_Toc2225"/>
      <w:bookmarkStart w:id="32" w:name="_Toc30231"/>
      <w:r>
        <w:rPr>
          <w:rFonts w:hint="eastAsia" w:ascii="方正仿宋_GBK" w:hAnsi="方正仿宋_GBK" w:eastAsia="方正仿宋_GBK" w:cs="方正仿宋_GBK"/>
          <w:color w:val="auto"/>
          <w:sz w:val="28"/>
          <w:szCs w:val="28"/>
          <w:highlight w:val="none"/>
        </w:rPr>
        <w:t>7.参选有效期</w:t>
      </w:r>
      <w:bookmarkEnd w:id="23"/>
      <w:bookmarkEnd w:id="24"/>
      <w:bookmarkEnd w:id="31"/>
      <w:bookmarkEnd w:id="32"/>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参选文件有效期为投递比选文件起</w:t>
      </w:r>
      <w:r>
        <w:rPr>
          <w:rFonts w:hint="eastAsia" w:ascii="方正仿宋_GBK" w:hAnsi="方正仿宋_GBK" w:eastAsia="方正仿宋_GBK" w:cs="方正仿宋_GBK"/>
          <w:color w:val="auto"/>
          <w:sz w:val="28"/>
          <w:szCs w:val="28"/>
          <w:highlight w:val="none"/>
          <w:lang w:val="en-US" w:eastAsia="zh-CN"/>
        </w:rPr>
        <w:t>90</w:t>
      </w:r>
      <w:r>
        <w:rPr>
          <w:rFonts w:hint="eastAsia" w:ascii="方正仿宋_GBK" w:hAnsi="方正仿宋_GBK" w:eastAsia="方正仿宋_GBK" w:cs="方正仿宋_GBK"/>
          <w:color w:val="auto"/>
          <w:sz w:val="28"/>
          <w:szCs w:val="28"/>
          <w:highlight w:val="none"/>
        </w:rPr>
        <w:t>天，在此期限内，所有参选文件均保持有效。</w:t>
      </w:r>
    </w:p>
    <w:p>
      <w:pPr>
        <w:pStyle w:val="5"/>
        <w:spacing w:line="360" w:lineRule="auto"/>
        <w:rPr>
          <w:rFonts w:hint="eastAsia" w:ascii="方正仿宋_GBK" w:hAnsi="方正仿宋_GBK" w:eastAsia="方正仿宋_GBK" w:cs="方正仿宋_GBK"/>
          <w:color w:val="auto"/>
          <w:sz w:val="28"/>
          <w:szCs w:val="28"/>
          <w:highlight w:val="none"/>
        </w:rPr>
      </w:pPr>
      <w:bookmarkStart w:id="33" w:name="_Toc1521"/>
      <w:bookmarkStart w:id="34" w:name="_Toc13164"/>
      <w:bookmarkStart w:id="35" w:name="_Toc20735"/>
      <w:bookmarkStart w:id="36" w:name="_Toc10005"/>
      <w:r>
        <w:rPr>
          <w:rFonts w:hint="eastAsia" w:ascii="方正仿宋_GBK" w:hAnsi="方正仿宋_GBK" w:eastAsia="方正仿宋_GBK" w:cs="方正仿宋_GBK"/>
          <w:color w:val="auto"/>
          <w:sz w:val="28"/>
          <w:szCs w:val="28"/>
          <w:highlight w:val="none"/>
          <w:lang w:val="en-US" w:eastAsia="zh-CN"/>
        </w:rPr>
        <w:t>8</w:t>
      </w:r>
      <w:r>
        <w:rPr>
          <w:rFonts w:hint="eastAsia" w:ascii="方正仿宋_GBK" w:hAnsi="方正仿宋_GBK" w:eastAsia="方正仿宋_GBK" w:cs="方正仿宋_GBK"/>
          <w:color w:val="auto"/>
          <w:sz w:val="28"/>
          <w:szCs w:val="28"/>
          <w:highlight w:val="none"/>
        </w:rPr>
        <w:t>.迟交的参选文件</w:t>
      </w:r>
      <w:bookmarkEnd w:id="33"/>
      <w:bookmarkEnd w:id="34"/>
      <w:bookmarkEnd w:id="35"/>
      <w:bookmarkEnd w:id="36"/>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w:t>
      </w:r>
      <w:r>
        <w:rPr>
          <w:rFonts w:hint="eastAsia" w:ascii="方正仿宋_GBK" w:hAnsi="方正仿宋_GBK" w:eastAsia="方正仿宋_GBK" w:cs="方正仿宋_GBK"/>
          <w:color w:val="auto"/>
          <w:sz w:val="28"/>
          <w:szCs w:val="28"/>
          <w:highlight w:val="none"/>
          <w:lang w:val="en-US" w:eastAsia="zh-CN"/>
        </w:rPr>
        <w:t>人</w:t>
      </w:r>
      <w:r>
        <w:rPr>
          <w:rFonts w:hint="eastAsia" w:ascii="方正仿宋_GBK" w:hAnsi="方正仿宋_GBK" w:eastAsia="方正仿宋_GBK" w:cs="方正仿宋_GBK"/>
          <w:color w:val="auto"/>
          <w:sz w:val="28"/>
          <w:szCs w:val="28"/>
          <w:highlight w:val="none"/>
        </w:rPr>
        <w:t>在本须知中规定的参选截止时间后提交的参选文件，比选人将拒绝或原封退回给</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p>
    <w:p>
      <w:pPr>
        <w:pStyle w:val="5"/>
        <w:spacing w:line="360" w:lineRule="auto"/>
        <w:rPr>
          <w:rFonts w:hint="eastAsia" w:ascii="方正仿宋_GBK" w:hAnsi="方正仿宋_GBK" w:eastAsia="方正仿宋_GBK" w:cs="方正仿宋_GBK"/>
          <w:color w:val="auto"/>
          <w:sz w:val="28"/>
          <w:szCs w:val="28"/>
          <w:highlight w:val="none"/>
        </w:rPr>
      </w:pPr>
      <w:bookmarkStart w:id="37" w:name="_Toc24299"/>
      <w:bookmarkStart w:id="38" w:name="_Toc15522"/>
      <w:bookmarkStart w:id="39" w:name="_Toc8133"/>
      <w:bookmarkStart w:id="40" w:name="_Toc3535"/>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.参选文件的符合性审查</w:t>
      </w:r>
      <w:bookmarkEnd w:id="37"/>
      <w:bookmarkEnd w:id="38"/>
      <w:bookmarkEnd w:id="39"/>
      <w:bookmarkEnd w:id="40"/>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.1 参选文件有下列情况之一者，经评审小组认定未能对比选文件作出实质性响应，作废标处理：</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（1）参选文件没有</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法定代表人或委托代理人签字并加盖公章。</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（2）参选供货</w:t>
      </w:r>
      <w:r>
        <w:rPr>
          <w:rFonts w:hint="eastAsia" w:ascii="方正仿宋_GBK" w:hAnsi="方正仿宋_GBK" w:eastAsia="方正仿宋_GBK" w:cs="方正仿宋_GBK"/>
          <w:color w:val="auto"/>
          <w:sz w:val="28"/>
          <w:szCs w:val="28"/>
          <w:highlight w:val="none"/>
          <w:lang w:val="en-US" w:eastAsia="zh-CN"/>
        </w:rPr>
        <w:t>周期</w:t>
      </w:r>
      <w:r>
        <w:rPr>
          <w:rFonts w:hint="eastAsia" w:ascii="方正仿宋_GBK" w:hAnsi="方正仿宋_GBK" w:eastAsia="方正仿宋_GBK" w:cs="方正仿宋_GBK"/>
          <w:color w:val="auto"/>
          <w:sz w:val="28"/>
          <w:szCs w:val="28"/>
          <w:highlight w:val="none"/>
        </w:rPr>
        <w:t>不能满足</w:t>
      </w:r>
      <w:r>
        <w:rPr>
          <w:rFonts w:hint="eastAsia" w:ascii="方正仿宋_GBK" w:hAnsi="方正仿宋_GBK" w:eastAsia="方正仿宋_GBK" w:cs="方正仿宋_GBK"/>
          <w:color w:val="auto"/>
          <w:sz w:val="28"/>
          <w:szCs w:val="28"/>
          <w:highlight w:val="none"/>
          <w:lang w:val="en-US" w:eastAsia="zh-CN"/>
        </w:rPr>
        <w:t>4.2供货时间</w:t>
      </w:r>
      <w:r>
        <w:rPr>
          <w:rFonts w:hint="eastAsia" w:ascii="方正仿宋_GBK" w:hAnsi="方正仿宋_GBK" w:eastAsia="方正仿宋_GBK" w:cs="方正仿宋_GBK"/>
          <w:color w:val="auto"/>
          <w:sz w:val="28"/>
          <w:szCs w:val="28"/>
          <w:highlight w:val="none"/>
        </w:rPr>
        <w:t>的要求。</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（3）不符合比选文件中</w:t>
      </w:r>
      <w:r>
        <w:rPr>
          <w:rFonts w:hint="eastAsia" w:ascii="方正仿宋_GBK" w:hAnsi="方正仿宋_GBK" w:eastAsia="方正仿宋_GBK" w:cs="方正仿宋_GBK"/>
          <w:color w:val="auto"/>
          <w:sz w:val="28"/>
          <w:szCs w:val="28"/>
          <w:highlight w:val="none"/>
          <w:lang w:val="en-US" w:eastAsia="zh-CN"/>
        </w:rPr>
        <w:t>第二章</w:t>
      </w:r>
      <w:r>
        <w:rPr>
          <w:rFonts w:hint="eastAsia" w:ascii="方正仿宋_GBK" w:hAnsi="方正仿宋_GBK" w:eastAsia="方正仿宋_GBK" w:cs="方正仿宋_GBK"/>
          <w:color w:val="auto"/>
          <w:sz w:val="28"/>
          <w:szCs w:val="28"/>
          <w:highlight w:val="none"/>
        </w:rPr>
        <w:t>技术要求。</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（4）不符合比选文件</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资格</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要求。</w:t>
      </w:r>
    </w:p>
    <w:p>
      <w:pPr>
        <w:spacing w:line="360" w:lineRule="auto"/>
        <w:ind w:firstLine="610" w:firstLineChars="218"/>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lang w:val="en-US" w:eastAsia="zh-CN"/>
        </w:rPr>
        <w:t>参选文件报价超出比选控制价。</w:t>
      </w:r>
    </w:p>
    <w:p>
      <w:pPr>
        <w:spacing w:line="360" w:lineRule="auto"/>
        <w:ind w:firstLine="610" w:firstLineChars="218"/>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报价清单与工程量清单不一致的</w:t>
      </w:r>
      <w:r>
        <w:rPr>
          <w:rFonts w:hint="eastAsia" w:ascii="方正仿宋_GBK" w:hAnsi="方正仿宋_GBK" w:eastAsia="方正仿宋_GBK" w:cs="方正仿宋_GBK"/>
          <w:color w:val="auto"/>
          <w:sz w:val="28"/>
          <w:szCs w:val="28"/>
          <w:highlight w:val="none"/>
        </w:rPr>
        <w:t>。</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.2 在参选文件的组成部分中的任何一部分被确认为作废，则该参选文件作废。</w:t>
      </w:r>
    </w:p>
    <w:p>
      <w:pPr>
        <w:pStyle w:val="5"/>
        <w:spacing w:line="360" w:lineRule="auto"/>
        <w:rPr>
          <w:rFonts w:hint="eastAsia" w:ascii="方正仿宋_GBK" w:hAnsi="方正仿宋_GBK" w:eastAsia="方正仿宋_GBK" w:cs="方正仿宋_GBK"/>
          <w:color w:val="auto"/>
          <w:sz w:val="28"/>
          <w:szCs w:val="28"/>
          <w:highlight w:val="none"/>
        </w:rPr>
      </w:pPr>
      <w:bookmarkStart w:id="41" w:name="_Toc15251"/>
      <w:bookmarkStart w:id="42" w:name="_Toc10306"/>
      <w:bookmarkStart w:id="43" w:name="_Toc12069"/>
      <w:bookmarkStart w:id="44" w:name="_Toc24609"/>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w:t>
      </w:r>
      <w:bookmarkEnd w:id="41"/>
      <w:bookmarkEnd w:id="42"/>
      <w:r>
        <w:rPr>
          <w:rFonts w:hint="eastAsia" w:ascii="方正仿宋_GBK" w:hAnsi="方正仿宋_GBK" w:eastAsia="方正仿宋_GBK" w:cs="方正仿宋_GBK"/>
          <w:color w:val="auto"/>
          <w:sz w:val="28"/>
          <w:szCs w:val="28"/>
          <w:highlight w:val="none"/>
        </w:rPr>
        <w:t>评审</w:t>
      </w:r>
      <w:bookmarkEnd w:id="43"/>
      <w:bookmarkEnd w:id="44"/>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.1比选人成立评审小组，评审小组将根据各</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在满足供货质量、供货周期、技术、响应比选文件要求等方面进行评审，选择</w:t>
      </w:r>
      <w:r>
        <w:rPr>
          <w:rFonts w:hint="eastAsia" w:ascii="方正仿宋_GBK" w:hAnsi="方正仿宋_GBK" w:eastAsia="方正仿宋_GBK" w:cs="方正仿宋_GBK"/>
          <w:color w:val="auto"/>
          <w:sz w:val="28"/>
          <w:szCs w:val="28"/>
          <w:highlight w:val="none"/>
          <w:lang w:val="en-US" w:eastAsia="zh-CN"/>
        </w:rPr>
        <w:t>满足比选文件要求的有效最低价</w:t>
      </w:r>
      <w:r>
        <w:rPr>
          <w:rFonts w:hint="eastAsia" w:ascii="方正仿宋_GBK" w:hAnsi="方正仿宋_GBK" w:eastAsia="方正仿宋_GBK" w:cs="方正仿宋_GBK"/>
          <w:color w:val="auto"/>
          <w:sz w:val="28"/>
          <w:szCs w:val="28"/>
          <w:highlight w:val="none"/>
        </w:rPr>
        <w:t>。</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.2</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在评审过程中应保证接受评审小组的随时质询。若</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因故不能接受可能的质询，其参选文件仍有效，但应视为</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已默认评审小组对缺席的质询所作出的结论。</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0</w:t>
      </w:r>
      <w:r>
        <w:rPr>
          <w:rFonts w:hint="eastAsia" w:ascii="方正仿宋_GBK" w:hAnsi="方正仿宋_GBK" w:eastAsia="方正仿宋_GBK" w:cs="方正仿宋_GBK"/>
          <w:color w:val="auto"/>
          <w:sz w:val="28"/>
          <w:szCs w:val="28"/>
          <w:highlight w:val="none"/>
        </w:rPr>
        <w:t>.3在参选文件的评审和比较以及授予合同的过程中，</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如试图向比选小组施加贿赂或影响的任何行为，都将会导致其参选被拒绝。</w:t>
      </w:r>
    </w:p>
    <w:p>
      <w:pPr>
        <w:pStyle w:val="5"/>
        <w:spacing w:line="360" w:lineRule="auto"/>
        <w:rPr>
          <w:rFonts w:hint="eastAsia" w:ascii="方正仿宋_GBK" w:hAnsi="方正仿宋_GBK" w:eastAsia="方正仿宋_GBK" w:cs="方正仿宋_GBK"/>
          <w:color w:val="auto"/>
          <w:sz w:val="28"/>
          <w:szCs w:val="28"/>
          <w:highlight w:val="none"/>
        </w:rPr>
      </w:pPr>
      <w:bookmarkStart w:id="45" w:name="_Toc12571"/>
      <w:bookmarkStart w:id="46" w:name="_Toc10109"/>
      <w:bookmarkStart w:id="47" w:name="_Toc15079"/>
      <w:bookmarkStart w:id="48" w:name="_Toc3778"/>
      <w:r>
        <w:rPr>
          <w:rFonts w:hint="eastAsia" w:ascii="方正仿宋_GBK" w:hAnsi="方正仿宋_GBK" w:eastAsia="方正仿宋_GBK" w:cs="方正仿宋_GBK"/>
          <w:color w:val="auto"/>
          <w:sz w:val="28"/>
          <w:szCs w:val="28"/>
          <w:highlight w:val="none"/>
        </w:rPr>
        <w:t>1</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rPr>
        <w:t>.合同的授予</w:t>
      </w:r>
      <w:bookmarkEnd w:id="45"/>
      <w:bookmarkEnd w:id="46"/>
      <w:bookmarkEnd w:id="47"/>
      <w:bookmarkEnd w:id="48"/>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由比选人重庆机电控股集团机电工程技术有限公司与中选人根据《民法典》的规定，依据比选文件、参选文件、技术协议文件等相关文件签订采购合同。</w:t>
      </w:r>
      <w:bookmarkStart w:id="49" w:name="_Toc3407"/>
      <w:bookmarkStart w:id="50" w:name="_Toc26047"/>
      <w:bookmarkStart w:id="51" w:name="_Toc30471"/>
    </w:p>
    <w:p>
      <w:pPr>
        <w:pStyle w:val="5"/>
        <w:numPr>
          <w:ilvl w:val="0"/>
          <w:numId w:val="3"/>
        </w:numPr>
        <w:spacing w:line="360" w:lineRule="auto"/>
        <w:ind w:left="562" w:hanging="562" w:hangingChars="200"/>
        <w:rPr>
          <w:rFonts w:hint="eastAsia" w:ascii="方正仿宋_GBK" w:hAnsi="方正仿宋_GBK" w:eastAsia="方正仿宋_GBK" w:cs="方正仿宋_GBK"/>
          <w:color w:val="auto"/>
          <w:sz w:val="28"/>
          <w:szCs w:val="28"/>
          <w:highlight w:val="none"/>
        </w:rPr>
      </w:pPr>
      <w:bookmarkStart w:id="52" w:name="_Toc5135"/>
      <w:r>
        <w:rPr>
          <w:rFonts w:hint="eastAsia" w:ascii="方正仿宋_GBK" w:hAnsi="方正仿宋_GBK" w:eastAsia="方正仿宋_GBK" w:cs="方正仿宋_GBK"/>
          <w:color w:val="auto"/>
          <w:sz w:val="28"/>
          <w:szCs w:val="28"/>
          <w:highlight w:val="none"/>
        </w:rPr>
        <w:t>对参选人的纪律要求</w:t>
      </w:r>
    </w:p>
    <w:p>
      <w:pPr>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参选人不得相互串通或者与比选人串通，不得向比选人或者评审小组成员行贿谋取中选，不得以他人名义参选或者以其他方式弄虚作假骗取中选；一经核实取消参选人资格。</w:t>
      </w:r>
    </w:p>
    <w:p>
      <w:pPr>
        <w:pStyle w:val="5"/>
        <w:numPr>
          <w:ilvl w:val="0"/>
          <w:numId w:val="0"/>
        </w:num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13.</w:t>
      </w:r>
      <w:r>
        <w:rPr>
          <w:rFonts w:hint="eastAsia" w:ascii="方正仿宋_GBK" w:hAnsi="方正仿宋_GBK" w:eastAsia="方正仿宋_GBK" w:cs="方正仿宋_GBK"/>
          <w:color w:val="auto"/>
          <w:sz w:val="28"/>
          <w:szCs w:val="28"/>
          <w:highlight w:val="none"/>
        </w:rPr>
        <w:t>其它</w:t>
      </w:r>
      <w:bookmarkEnd w:id="49"/>
      <w:bookmarkEnd w:id="50"/>
      <w:bookmarkEnd w:id="51"/>
      <w:bookmarkEnd w:id="52"/>
    </w:p>
    <w:p>
      <w:pPr>
        <w:spacing w:line="360" w:lineRule="auto"/>
        <w:ind w:firstLine="52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本比选文件的解释权和修改权归重庆机电控股集团机电工程技术有限公司所有。</w:t>
      </w:r>
      <w:bookmarkStart w:id="53" w:name="_Toc14249"/>
      <w:bookmarkStart w:id="54" w:name="_Toc9562"/>
    </w:p>
    <w:p>
      <w:pP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numPr>
          <w:ilvl w:val="0"/>
          <w:numId w:val="4"/>
        </w:numPr>
        <w:snapToGrid w:val="0"/>
        <w:spacing w:before="0" w:after="312" w:afterAutospacing="0" w:line="360" w:lineRule="auto"/>
        <w:jc w:val="center"/>
        <w:rPr>
          <w:rFonts w:hint="eastAsia" w:ascii="方正仿宋_GBK" w:hAnsi="方正仿宋_GBK" w:eastAsia="方正仿宋_GBK" w:cs="方正仿宋_GBK"/>
        </w:rPr>
      </w:pPr>
      <w:bookmarkStart w:id="55" w:name="_Toc8320"/>
      <w:bookmarkStart w:id="56" w:name="_Toc2881"/>
      <w:r>
        <w:rPr>
          <w:rFonts w:hint="eastAsia" w:ascii="方正仿宋_GBK" w:hAnsi="方正仿宋_GBK" w:eastAsia="方正仿宋_GBK" w:cs="方正仿宋_GBK"/>
          <w:color w:val="auto"/>
          <w:sz w:val="40"/>
          <w:szCs w:val="40"/>
          <w:highlight w:val="none"/>
          <w:lang w:val="en-US" w:eastAsia="zh-CN"/>
        </w:rPr>
        <w:t>双面彩钢复合风管</w:t>
      </w:r>
      <w:r>
        <w:rPr>
          <w:rFonts w:hint="eastAsia" w:ascii="方正仿宋_GBK" w:hAnsi="方正仿宋_GBK" w:eastAsia="方正仿宋_GBK" w:cs="方正仿宋_GBK"/>
          <w:snapToGrid w:val="0"/>
          <w:color w:val="auto"/>
          <w:kern w:val="0"/>
          <w:sz w:val="44"/>
          <w:szCs w:val="44"/>
          <w:highlight w:val="none"/>
        </w:rPr>
        <w:t>技术</w:t>
      </w:r>
      <w:bookmarkEnd w:id="53"/>
      <w:bookmarkEnd w:id="54"/>
      <w:bookmarkStart w:id="57" w:name="_Toc27947"/>
      <w:bookmarkStart w:id="58" w:name="_Toc9623"/>
      <w:r>
        <w:rPr>
          <w:rFonts w:hint="eastAsia" w:ascii="方正仿宋_GBK" w:hAnsi="方正仿宋_GBK" w:eastAsia="方正仿宋_GBK" w:cs="方正仿宋_GBK"/>
          <w:snapToGrid w:val="0"/>
          <w:color w:val="auto"/>
          <w:kern w:val="0"/>
          <w:sz w:val="44"/>
          <w:szCs w:val="44"/>
          <w:highlight w:val="none"/>
          <w:lang w:val="en-US" w:eastAsia="zh-CN"/>
        </w:rPr>
        <w:t>要求</w:t>
      </w:r>
      <w:bookmarkEnd w:id="55"/>
      <w:bookmarkEnd w:id="56"/>
    </w:p>
    <w:p>
      <w:pPr>
        <w:spacing w:line="24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1.参考标准</w:t>
      </w:r>
    </w:p>
    <w:p>
      <w:pPr>
        <w:tabs>
          <w:tab w:val="left" w:pos="860"/>
        </w:tabs>
        <w:spacing w:line="48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主要参考规范及标准</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（1）《建筑设计防火规范》(GB50016)</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（2）《民用建筑供暖通风与空气调节设计规范》（GB50736）</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（4）《供暖通风与空气调节术语标准》（GB/T50155）</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（5）《地铁设计规范》（GB50157）</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（6）《公共建筑节能设计标准》（GB50189）</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（7）《通风与空调工程施工质量验收规范》（GB50243）</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（8）《地下铁道工程施工及验收规范》（GB50299）</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（9）《通风管道技术规程》（JGJ141）</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（10）《人民防空工程设计防火规范》（GB50098）</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（11）《建筑材料及制品燃烧性能分级》（GB8624）</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（12）《通风管道耐火试验方法》（GB/T17428）</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（13）《设备及管道绝热设计导则》（GB8175）</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（14）《非金属风管制作与安装》（15K114）</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（15）《非金属及复合风管》（JG∕T 258-2018）</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参选人应采用以上规范或标准之最新版本。</w:t>
      </w:r>
    </w:p>
    <w:p>
      <w:pPr>
        <w:spacing w:line="600" w:lineRule="exact"/>
        <w:ind w:firstLine="548" w:firstLineChars="19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参选人应提供投标设备所采用的设计、制造、试验、测试、验收、安全、等相关规范及标准作为投标附件。</w:t>
      </w:r>
    </w:p>
    <w:p>
      <w:pPr>
        <w:spacing w:line="24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2.技术要求</w:t>
      </w:r>
    </w:p>
    <w:p>
      <w:pPr>
        <w:numPr>
          <w:ilvl w:val="0"/>
          <w:numId w:val="0"/>
        </w:numPr>
        <w:tabs>
          <w:tab w:val="left" w:pos="860"/>
        </w:tabs>
        <w:spacing w:line="48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2.1空调系统双面彩钢复合型风管</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通风管道：输送空气和空气混合物的各种风管和风道的统称。</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风口：装在通风管道侧面或支管末端用于送风、排风和回风的孔口或装置的统称。本工程一般采用散流器、单双层百叶风口、隔栅等。</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通风部件：特指通风与空调系统中的各类风口、阀门、排风罩、风帽、检查孔和风管支、吊架架等。</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通风配件：特指通风与空调系统中的弯头、三通、变径管、来回弯、导流板和法兰等。</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清扫孔：用于清除通风除尘系统管道内集尘的密封孔口。</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测孔：用于检测设备及通风管道内空气及其混合物的各种参数，如温度、湿度、压力、流速、有害物质浓度等，而平时加以密封的孔口。</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风管支、吊架：支撑、悬吊风管用的金属杆件、抱箍、托架、吊架等的统称。</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应提供用于加工成各种尺寸规格的双面彩钢复合风管的双面彩钢复合风管板材、粘接剂、密封材料、防冷桥法兰、支撑件加固条和破损修补等全部材料和加工、安装工艺，加工成双面彩钢复合风管并运输到位。</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应提供双面彩钢复合风管、通风配件（见定义）、破损修补、防冷桥隔热技术法兰的加工和安装工艺，材料、加工工艺和安装工艺须满足风管系统承压、风速的要求，风管漏风量应满足满足《通风管道技术规程》（JGJ141-2004）、《非金属风管制作与安装》（15K114）要求中的要求，提供风管的沿程阻力及风压1500Pa下漏风量、变形量的检测报告；负责培训招标人指定的施工劳务单位，在加工、安装过程中进行有效的现场安装督导。</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供应商应提供双面彩钢复合风管与土建风道的连接方法、与通风部件（见定义）的连接方法。招标人提供的各类阀门、消声器、消声静压箱等均采用标准铝合金法兰连接。</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提供的双面彩钢复合风管板材、粘接剂、密封材料、防冷桥法兰、加固条和破损修补等全部材料，并按照设计及国家相关规范规定的加工工艺加工完成，必须能够作为火灾排烟管道，供应商应详细说明，并根据国家相关规范、标准提供相应的证明材料。</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供应商提供的双面彩钢复合风管，应提供国家权威检测部门出具的燃烧等级检测报告，并且提供给招标人的用于本工程的全部材料和加工工艺与送检样品完全一致。</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供应商提供的双面彩钢复合风管，并按照设计及国家相关规范规定认可的加工工艺加工完成的风管，并且提供给招标人的用于本工程的全部材料和加工工艺与送检样品完全一致。</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提供双面彩钢复合风管板材总厚度不小于30mm，风管内外层均为耐高温烤涂漆处理0.3~0.5mm的彩钢板，燃烧性能应满足A级不燃，最小密度≥80kg/m3，弯曲强度≥1.05MPa，导热系数≤0.034w/m.k，并提供权威检测的节能报告。法兰、加固条、支撑件应采用金属材料制作，要求法兰采用金属法兰，并保证有防冷桥隔热技术工艺，提供风管系统整体防凝露报告并满足《公共建筑节能设计标准》的要求。</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双面彩钢复合风管应无毒无害、无放射性、符合国家相关卫生要求，须满足国家及重庆市相关规范及标准的要求，并提供国家权威机构相关检测报告，复合风管、相关配件、破损修补、防冷桥隔热技术法兰的加工和安装工艺须满足风管系统承压及保温等要求，风管的漏风量应满足现行《通风管道技术规程》、《非金属风管制作与安装》等相关规范的要求。供应商应提供风管的沿程阻力及风压1500Pa下的漏风量检测报告和变形量检测报告，并提供国家权威检测部门出具的风管整体耐火极限、耐高温检验报告。</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双面彩钢复合型风管在空调系统内的补风管道耐火极限不低于0.5小时，穿越防火分区时不低于1.5小时，供应商应提供提供国家权威检测部门出具的风管整体耐火极限、耐高温检验报告。</w:t>
      </w:r>
    </w:p>
    <w:p>
      <w:pPr>
        <w:numPr>
          <w:ilvl w:val="0"/>
          <w:numId w:val="5"/>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同时复合型风管的防火等级、风管强度等性能参数应与施工图设计保持一致。复合风管应无毒无害、无放射性、符合国家相关卫生要求，须满足国家及重庆市相关规范及标准的要求，并提供国家权威机构相关检测报告，复合风管、相关配件、破损修补、防冷桥隔热技术法兰的加工和安装工艺须满足风管系统承压及保温等要求，风管的性能参数及安装工艺应满足现行《通风管道技术规程》、《非金属风管制作与安装》、《建筑防排烟系统复合型耐火风管设计图集》、《非金属及复合风管》等相关规范的要求。风管的表面应光滑、平整、不产尘、不易霉变，沿程阻力不应低于传统风管的技术要求，并提供风压1500Pa下的漏风量检测报告和变形量检测报告，并提供国家权威检测部门出具的风管整体耐火极限、耐高温检验报告。用于消防系统的复合风管，须符合消防相关规范及标准的要求。</w:t>
      </w:r>
    </w:p>
    <w:p>
      <w:pPr>
        <w:spacing w:line="24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3.进场检验试验</w:t>
      </w:r>
    </w:p>
    <w:p>
      <w:pPr>
        <w:numPr>
          <w:ilvl w:val="0"/>
          <w:numId w:val="6"/>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风管漏风量应满足国家标准《通风与空调工程施工质量验收规范》GB50243的要求。</w:t>
      </w:r>
    </w:p>
    <w:p>
      <w:pPr>
        <w:numPr>
          <w:ilvl w:val="0"/>
          <w:numId w:val="6"/>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应提供国家权威检测部门出具的复合风管板材的物理化学性能及空气隔声检测报告，内容至少包括密度、细水率、导热系数、抗压强度、弯曲强度等。供应商还应以表格的形式提供复合风管板材、保温或隔热材料、粘接剂、密封材料、法兰、加固条、防冷桥法兰、支撑件等主要技术要求。</w:t>
      </w:r>
    </w:p>
    <w:p>
      <w:pPr>
        <w:numPr>
          <w:ilvl w:val="0"/>
          <w:numId w:val="6"/>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供应商提供的复合风管板材的尺寸统一、误差小，壁板与夹层保温材料应连接牢固，在对板材进行切割的过程中，不会产生壁板脱落的现象。</w:t>
      </w:r>
    </w:p>
    <w:p>
      <w:pPr>
        <w:numPr>
          <w:ilvl w:val="0"/>
          <w:numId w:val="6"/>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供应商提供的产品和加工工艺必须满足设计及相关规范标准的要求，并提供招标单位要求的各种文件和检验报告。</w:t>
      </w:r>
    </w:p>
    <w:p>
      <w:pPr>
        <w:numPr>
          <w:ilvl w:val="0"/>
          <w:numId w:val="6"/>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供应商提供的复合风管的加工工艺不得低于本技术规格书所列的以及其他国家、行业、地区规范标准、图集的要求。</w:t>
      </w:r>
    </w:p>
    <w:p>
      <w:pPr>
        <w:numPr>
          <w:ilvl w:val="0"/>
          <w:numId w:val="6"/>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供应商应对施工过程中出现的、与复合风管有关的问题进行分析研究，并提出合理的解决方案。</w:t>
      </w:r>
    </w:p>
    <w:p>
      <w:pPr>
        <w:numPr>
          <w:ilvl w:val="0"/>
          <w:numId w:val="6"/>
        </w:numPr>
        <w:spacing w:line="360" w:lineRule="auto"/>
        <w:ind w:hanging="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供应商应提供国家权威检测部门依据《非金属及复合风管》（JG∕T 258-2018）出具的全性能参数检测报告。</w:t>
      </w:r>
    </w:p>
    <w:p>
      <w:pPr>
        <w:spacing w:line="24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4.包装及标识</w:t>
      </w:r>
    </w:p>
    <w:p>
      <w:pPr>
        <w:spacing w:line="360" w:lineRule="auto"/>
        <w:ind w:left="42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供应商所提供产品清单上应注明产品规格型号、数量、生产日期。</w:t>
      </w:r>
    </w:p>
    <w:p>
      <w:pPr>
        <w:spacing w:line="24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5. 技术服务</w:t>
      </w:r>
    </w:p>
    <w:p>
      <w:pPr>
        <w:numPr>
          <w:ilvl w:val="0"/>
          <w:numId w:val="7"/>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中标人的责任包括从产品的设计、制造、运输、试运行服务直到工程竣工验收并按技术规格书的技术条件正常运转。在产品安装和试运行期间，招标人有权要求中标人委派技术熟练、称职的人员到安装现场进行全程免费的技术服务。中标人应派遣技术服务的内容包括：</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a.现场安装指导的技术服务。</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b.现场培训服务(中文培训)。</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c.现场验收试验。</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d.质保期内的服务。</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e.现场验收完成并经招标人批准后，在接管单位人员参加下，产品将投入二十四个月的试运行，试运行期间的技术服务由中标人负责。</w:t>
      </w:r>
    </w:p>
    <w:p>
      <w:pPr>
        <w:numPr>
          <w:ilvl w:val="0"/>
          <w:numId w:val="7"/>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根据实际情况，招标人可指派技术人员到产品生产厂进行设计联络。设备生产厂应向其提供有关技术文件、图纸、试验报告等，有条件时在食、宿、交通等方面提供便利条件，以便于招标人派出的技术人员有效地工作。</w:t>
      </w:r>
    </w:p>
    <w:p>
      <w:pPr>
        <w:numPr>
          <w:ilvl w:val="0"/>
          <w:numId w:val="7"/>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技术图纸</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供应商提供的图纸及技术文件包括：</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a复合风管加工工艺图、大尺寸复合风管的加工工艺图；</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b复合风管通风配件加工图；</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c复合风管吊装图；</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d复合风管与通风部件连接图</w:t>
      </w:r>
    </w:p>
    <w:p>
      <w:pPr>
        <w:ind w:firstLine="42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e根据施工图分段编码、深化图纸并按此生产及供货；</w:t>
      </w:r>
    </w:p>
    <w:p>
      <w:pPr>
        <w:outlineLvl w:val="9"/>
        <w:rPr>
          <w:rFonts w:hint="eastAsia" w:ascii="方正仿宋_GBK" w:hAnsi="方正仿宋_GBK" w:eastAsia="方正仿宋_GBK" w:cs="方正仿宋_GBK"/>
          <w:color w:val="auto"/>
          <w:kern w:val="2"/>
          <w:sz w:val="28"/>
          <w:szCs w:val="28"/>
          <w:highlight w:val="none"/>
          <w:lang w:val="en-US" w:eastAsia="zh-CN" w:bidi="ar-SA"/>
        </w:rPr>
      </w:pPr>
    </w:p>
    <w:p>
      <w:pPr>
        <w:spacing w:line="24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6. 培训</w:t>
      </w:r>
    </w:p>
    <w:p>
      <w:pPr>
        <w:numPr>
          <w:ilvl w:val="0"/>
          <w:numId w:val="8"/>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中标人应提供良好的技术培训条件(工厂培训)，让使用方人员完全掌握产品的技术，包括结构、原理、使用、安装和日常维护等。</w:t>
      </w:r>
    </w:p>
    <w:p>
      <w:pPr>
        <w:numPr>
          <w:ilvl w:val="0"/>
          <w:numId w:val="8"/>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中标人派出的培训人员应有丰富的现场经验和培训经验。</w:t>
      </w:r>
    </w:p>
    <w:p>
      <w:pPr>
        <w:numPr>
          <w:ilvl w:val="0"/>
          <w:numId w:val="8"/>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中标人应提供培训的详细计划及教材（中文），经招标人同意后方可使用。</w:t>
      </w:r>
    </w:p>
    <w:p>
      <w:pPr>
        <w:numPr>
          <w:ilvl w:val="0"/>
          <w:numId w:val="8"/>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培训教材应是最新版本，并且与所供产品相符。应采用标准词汇和符号。</w:t>
      </w:r>
    </w:p>
    <w:p>
      <w:pPr>
        <w:numPr>
          <w:ilvl w:val="0"/>
          <w:numId w:val="8"/>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培训教材应包括测试和维护技术。</w:t>
      </w:r>
    </w:p>
    <w:p>
      <w:pPr>
        <w:numPr>
          <w:ilvl w:val="0"/>
          <w:numId w:val="8"/>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中标人应提供培训所需的工具、测试仪表和装置。</w:t>
      </w:r>
    </w:p>
    <w:p>
      <w:pPr>
        <w:numPr>
          <w:ilvl w:val="0"/>
          <w:numId w:val="8"/>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中标人应根据产品的复杂程度安排在工地现场提供有效的技术培训，且应提供培训手册，使用方掌握与设备运转和维护有关的技术。</w:t>
      </w:r>
    </w:p>
    <w:p>
      <w:pPr>
        <w:spacing w:line="24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7.运输和储存</w:t>
      </w:r>
    </w:p>
    <w:p>
      <w:pPr>
        <w:numPr>
          <w:ilvl w:val="0"/>
          <w:numId w:val="9"/>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中标人应负责将所供设备严密包装，防止潮气、锈蚀、淋雨和震动。包装应牢固可靠，应考虑到运输过程中，可能受到的最大加速度所产生的冲击，产品不松动、不损坏、不变形。</w:t>
      </w:r>
    </w:p>
    <w:p>
      <w:pPr>
        <w:numPr>
          <w:ilvl w:val="0"/>
          <w:numId w:val="9"/>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对贵重产品应考虑与一般产品分开，采用特殊包装，并在箱上注明“小心轻放”等标志。</w:t>
      </w:r>
    </w:p>
    <w:p>
      <w:pPr>
        <w:numPr>
          <w:ilvl w:val="0"/>
          <w:numId w:val="9"/>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中标人必须按买方的要求在规定时间内运送至指定地点。</w:t>
      </w:r>
    </w:p>
    <w:p>
      <w:pPr>
        <w:numPr>
          <w:ilvl w:val="0"/>
          <w:numId w:val="9"/>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中标人应提供器材详细的运输和供应方案，保证工程所需器材按时、按量、保质供应的具体措施，负责将产品运至指定的施工现场集散地。</w:t>
      </w:r>
    </w:p>
    <w:p>
      <w:pPr>
        <w:numPr>
          <w:ilvl w:val="0"/>
          <w:numId w:val="9"/>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产品在到达目的地后，招标人将进行初步检查，根据提货单校对包装数量，检查产品包装情况，在装运中是否有损坏。</w:t>
      </w:r>
    </w:p>
    <w:p>
      <w:pPr>
        <w:numPr>
          <w:ilvl w:val="0"/>
          <w:numId w:val="9"/>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开箱验收将在现场进行，若产品的质量和规格与合同不符或发现明显的或隐藏的损坏，招标人将立即通知中标人，中标人应立即修复或更换损坏的产品，所需费用由中标人承担。</w:t>
      </w:r>
    </w:p>
    <w:p>
      <w:pPr>
        <w:numPr>
          <w:ilvl w:val="0"/>
          <w:numId w:val="9"/>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在包装箱外应标明招标人的订货号、中标人发货号、产品到站名。</w:t>
      </w:r>
    </w:p>
    <w:p>
      <w:pPr>
        <w:numPr>
          <w:ilvl w:val="0"/>
          <w:numId w:val="9"/>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随产品提供的技术资料应完整无缺，提供份额符合要求。每件产品应至少附有下列出厂文件：</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a产品合格证；</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b出厂试验记录；</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c安装使用维护说明书（包括产品外形尺寸图及组件安装使用说明等）；</w:t>
      </w:r>
    </w:p>
    <w:p>
      <w:pPr>
        <w:spacing w:line="360" w:lineRule="auto"/>
        <w:ind w:left="426"/>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d拆卸运输零件（如需要）和备件（如果有）一览表。</w:t>
      </w:r>
    </w:p>
    <w:p>
      <w:pPr>
        <w:spacing w:line="24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8. 设计联络</w:t>
      </w:r>
    </w:p>
    <w:p>
      <w:pPr>
        <w:numPr>
          <w:ilvl w:val="0"/>
          <w:numId w:val="10"/>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了使合同能顺利执行，在施工图设计阶段，依据设计进程和时间表的要求，发包方将派技术人员与供应商（厂家）进行设计联络，设计联络会议的目的是为了协助设计院完成施工图设计。供应商（厂家）负责组织和安排联络会议，并在投标时按发包方的设计联络要求提出设计联络建议书。在建议书中应详细列明包括但不限于：设计联络的内容、时间安排、形成的文件、参加人员、地点。供应商及厂家充分考虑设计联络及监造。</w:t>
      </w:r>
    </w:p>
    <w:p>
      <w:pPr>
        <w:numPr>
          <w:ilvl w:val="0"/>
          <w:numId w:val="10"/>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供应商（厂家）应配合发包方进行完成设计联络的全过程，费用自理。联络会期间，双方做好会议记录，并由供应商（厂家）形成会议纪要。</w:t>
      </w:r>
    </w:p>
    <w:p>
      <w:pPr>
        <w:numPr>
          <w:ilvl w:val="0"/>
          <w:numId w:val="10"/>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设计联络后供应商（厂家）应配合设计单位完成施工图设计。并在投标时需提供类似工程的供货和总承包合同复印件，证明具有上述系统设计配合的能力。</w:t>
      </w:r>
    </w:p>
    <w:p>
      <w:pPr>
        <w:numPr>
          <w:ilvl w:val="0"/>
          <w:numId w:val="10"/>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发包方和供应商（厂家）参加讨论并确认功能规格、标准、设计文件、检验程序和有关技术，是为了保证功能能充分满足工程要求，在此过程中，发包方不承担任何技术责任，也不能减轻供应商（厂家）对合同项目所负的责任。</w:t>
      </w:r>
    </w:p>
    <w:p>
      <w:pPr>
        <w:numPr>
          <w:ilvl w:val="0"/>
          <w:numId w:val="11"/>
        </w:numPr>
        <w:ind w:left="425" w:hanging="425"/>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监造</w:t>
      </w:r>
    </w:p>
    <w:p>
      <w:pPr>
        <w:ind w:firstLine="560" w:firstLineChars="20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为保证产品制造的质量符合发包方要求，发包方将对产品的生产过程进行监造，所发生的费用计入投标总价包干使用后期不做调整。</w:t>
      </w:r>
    </w:p>
    <w:p>
      <w:pPr>
        <w:ind w:firstLine="560" w:firstLineChars="20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监造的主要内容是对产品的材料和工艺进行控制，使产品整体质量符合招标要求。</w:t>
      </w:r>
    </w:p>
    <w:p>
      <w:pPr>
        <w:ind w:firstLine="560" w:firstLineChars="20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供应商（厂家）应按生产制造进展情况，提前 20 天提交监造大纲，并通知发包人进行监造。发包人及监理对产品质量的检查、对关键工序的生产监造不减轻供应商（厂家）所承担的质量责任。</w:t>
      </w:r>
    </w:p>
    <w:p>
      <w:pPr>
        <w:ind w:firstLine="560" w:firstLineChars="20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供应商（厂家）参加设计联络人员应是对本产品以及对其他系统接口有多年工作经验的健康的工程及生产制造技术人员，人员资质应在出发前提前 1 个月提交给发包方确认。</w:t>
      </w:r>
    </w:p>
    <w:p>
      <w:pPr>
        <w:ind w:firstLine="560" w:firstLineChars="20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工作中需由供应商（厂家）技术人员对发包方指定人员进行技术交底及现场示范等。</w:t>
      </w:r>
    </w:p>
    <w:p>
      <w:pPr>
        <w:ind w:firstLine="560" w:firstLineChars="20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供应商（厂家）人员将详细解释技术文件、手册、工程图纸及设备相应的注意事项。为完成上述设计联络和监造工作，必要时供应商（厂家）应无条件加派人员，费用由供应商（厂家）承担。</w:t>
      </w:r>
    </w:p>
    <w:p>
      <w:pPr>
        <w:ind w:firstLine="560" w:firstLineChars="20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本规定包括发包方派遣人员参加设计联络会议、监造的具体安排和时间。承包方应指定专门人员接待发包方人员和处理有关工作和生活问题。</w:t>
      </w:r>
    </w:p>
    <w:p>
      <w:pPr>
        <w:ind w:firstLine="560" w:firstLineChars="20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设计联络会议和监造在供应商（厂家）进行时，供应商（厂家）应对发包方派出人员提供便利。城市之间的交通为乘飞机。</w:t>
      </w:r>
    </w:p>
    <w:p>
      <w:pPr>
        <w:ind w:firstLine="560" w:firstLineChars="20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发包方派出的人员有权向承包方提出质疑并召开会议，讨论有关事项，供应商（厂家）应积极澄清发包方提出的问题。</w:t>
      </w:r>
    </w:p>
    <w:p>
      <w:pPr>
        <w:ind w:firstLine="560" w:firstLineChars="200"/>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发包方和供应商（厂家）参加设计联络会议和监造的费用计入投标总价包干使用后期不做调整，上述设计联络会及监造报价标准，含异地机票、食宿、当地交通费、保险、医疗、补贴等，承包商应根据上述人日数，报价计入投标总价包干使用后期不做调整。</w:t>
      </w:r>
    </w:p>
    <w:tbl>
      <w:tblPr>
        <w:tblStyle w:val="25"/>
        <w:tblW w:w="0" w:type="auto"/>
        <w:tblInd w:w="3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29"/>
        <w:gridCol w:w="2887"/>
        <w:gridCol w:w="3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729" w:type="dxa"/>
            <w:tcBorders>
              <w:top w:val="single" w:color="auto" w:sz="4" w:space="0"/>
              <w:left w:val="single" w:color="auto" w:sz="4" w:space="0"/>
              <w:bottom w:val="single" w:color="auto" w:sz="4" w:space="0"/>
              <w:right w:val="single" w:color="auto" w:sz="4" w:space="0"/>
            </w:tcBorders>
            <w:noWrap w:val="0"/>
            <w:vAlign w:val="top"/>
          </w:tcPr>
          <w:p>
            <w:pPr>
              <w:ind w:firstLine="560" w:firstLineChars="200"/>
              <w:jc w:val="center"/>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项目内容</w:t>
            </w:r>
          </w:p>
        </w:tc>
        <w:tc>
          <w:tcPr>
            <w:tcW w:w="2887" w:type="dxa"/>
            <w:tcBorders>
              <w:left w:val="single" w:color="auto" w:sz="4" w:space="0"/>
            </w:tcBorders>
            <w:noWrap w:val="0"/>
            <w:vAlign w:val="top"/>
          </w:tcPr>
          <w:p>
            <w:pPr>
              <w:ind w:firstLine="560" w:firstLineChars="200"/>
              <w:jc w:val="center"/>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人×天数</w:t>
            </w:r>
          </w:p>
        </w:tc>
        <w:tc>
          <w:tcPr>
            <w:tcW w:w="3270" w:type="dxa"/>
            <w:noWrap w:val="0"/>
            <w:vAlign w:val="top"/>
          </w:tcPr>
          <w:p>
            <w:pPr>
              <w:ind w:firstLine="560" w:firstLineChars="200"/>
              <w:jc w:val="center"/>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29" w:type="dxa"/>
            <w:tcBorders>
              <w:top w:val="single" w:color="auto" w:sz="4" w:space="0"/>
            </w:tcBorders>
            <w:noWrap w:val="0"/>
            <w:vAlign w:val="top"/>
          </w:tcPr>
          <w:p>
            <w:pPr>
              <w:ind w:firstLine="560" w:firstLineChars="200"/>
              <w:jc w:val="center"/>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设计联络</w:t>
            </w:r>
          </w:p>
        </w:tc>
        <w:tc>
          <w:tcPr>
            <w:tcW w:w="2887" w:type="dxa"/>
            <w:noWrap w:val="0"/>
            <w:vAlign w:val="top"/>
          </w:tcPr>
          <w:p>
            <w:pPr>
              <w:ind w:firstLine="560" w:firstLineChars="200"/>
              <w:jc w:val="center"/>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20×2</w:t>
            </w:r>
          </w:p>
        </w:tc>
        <w:tc>
          <w:tcPr>
            <w:tcW w:w="3270" w:type="dxa"/>
            <w:noWrap w:val="0"/>
            <w:vAlign w:val="top"/>
          </w:tcPr>
          <w:p>
            <w:pPr>
              <w:ind w:firstLine="560" w:firstLineChars="200"/>
              <w:jc w:val="center"/>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生产商所在地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729" w:type="dxa"/>
            <w:noWrap w:val="0"/>
            <w:vAlign w:val="top"/>
          </w:tcPr>
          <w:p>
            <w:pPr>
              <w:ind w:firstLine="560" w:firstLineChars="200"/>
              <w:jc w:val="center"/>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监造</w:t>
            </w:r>
          </w:p>
        </w:tc>
        <w:tc>
          <w:tcPr>
            <w:tcW w:w="2887" w:type="dxa"/>
            <w:noWrap w:val="0"/>
            <w:vAlign w:val="top"/>
          </w:tcPr>
          <w:p>
            <w:pPr>
              <w:ind w:firstLine="560" w:firstLineChars="200"/>
              <w:jc w:val="center"/>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20×2</w:t>
            </w:r>
          </w:p>
        </w:tc>
        <w:tc>
          <w:tcPr>
            <w:tcW w:w="3270" w:type="dxa"/>
            <w:noWrap w:val="0"/>
            <w:vAlign w:val="top"/>
          </w:tcPr>
          <w:p>
            <w:pPr>
              <w:ind w:firstLine="560" w:firstLineChars="200"/>
              <w:jc w:val="center"/>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生产商所在地</w:t>
            </w:r>
          </w:p>
        </w:tc>
      </w:tr>
    </w:tbl>
    <w:p>
      <w:pPr>
        <w:spacing w:line="24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10.材料及设备入场验收要求</w:t>
      </w:r>
    </w:p>
    <w:p>
      <w:pPr>
        <w:numPr>
          <w:ilvl w:val="0"/>
          <w:numId w:val="12"/>
        </w:numPr>
        <w:spacing w:line="36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到场材料、设备抽样验收比例《计数抽样检验程序》（GB/T2828.1）执行，大型设备全检。</w:t>
      </w:r>
    </w:p>
    <w:p>
      <w:pPr>
        <w:numPr>
          <w:ilvl w:val="0"/>
          <w:numId w:val="12"/>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物资到场前，乙方提前一天通知甲方人员物资到场的具体时间，交货地址由甲方指定。产品交付时乙方须派专人负责现场送货、配合验货，提供满足合同、技术规格书、设计联络会相关要求的质量证明文件,要求乙方务必备齐相关物资检验资质证书除主体外包括并不限于全部标准件、外购件、外协件等。备检的资质证书应为原件或复印件并加盖鲜章。如果物资到场计划临时取消或变更，应当立即通知甲方人员。</w:t>
      </w:r>
    </w:p>
    <w:p>
      <w:pPr>
        <w:numPr>
          <w:ilvl w:val="0"/>
          <w:numId w:val="12"/>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检验前乙方应提前将物资按清单内容备齐待检，整个检验环节乙方技术人员必须到场配合验货，乙方各站备检的资质证书成册提供给甲方人员后方开始检验。检验甲供材料、设备资质证书包含但不限于以下几类：出厂检验报告、第三方检测报告、测试卡、厂家资质、产品合格证、产品鉴定书、报关证、授权书、使用说明书和维保手册、3C认证、ISO9001等相关文件。凡是资质证书不为中文，请另行提供中文版或翻译件并加盖鲜章。                                                                                          </w:t>
      </w:r>
    </w:p>
    <w:p>
      <w:pPr>
        <w:numPr>
          <w:ilvl w:val="0"/>
          <w:numId w:val="12"/>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物资相关资质证书检查合格后，甲方人员对照物资外观进行检查，物资外观包装是否完整、外观是否完好、物资表面是否有锈蚀等。</w:t>
      </w:r>
    </w:p>
    <w:p>
      <w:pPr>
        <w:numPr>
          <w:ilvl w:val="0"/>
          <w:numId w:val="12"/>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检验物资实体标注的信息是否与物资随箱资质证书内容相符，如：产品合格证日期是否与物资铭牌或实体标注的日期相符。</w:t>
      </w:r>
    </w:p>
    <w:p>
      <w:pPr>
        <w:numPr>
          <w:ilvl w:val="0"/>
          <w:numId w:val="12"/>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对照物资实体、随箱资质证书内容与合同技术规格书及变更正式书面资料提及的相关内容是否相符合。</w:t>
      </w:r>
    </w:p>
    <w:p>
      <w:pPr>
        <w:numPr>
          <w:ilvl w:val="0"/>
          <w:numId w:val="12"/>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过程中发现以上任何问题，甲方检验人员现场提供问题依据，保留影像资料，验收中止，甲方拒收物资，待问题整改后乙方通知甲方人员再次检验，对于存在异议的物资，以会议记录等正式书面文件为准，未检验合格前不得继续下步工作，直至合格后方可进入后续环节。</w:t>
      </w:r>
    </w:p>
    <w:p>
      <w:pPr>
        <w:numPr>
          <w:ilvl w:val="0"/>
          <w:numId w:val="12"/>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如果后期设备安装调试期间出现质量问题，乙方及厂家对设备进行处理。</w:t>
      </w:r>
    </w:p>
    <w:p>
      <w:pPr>
        <w:numPr>
          <w:ilvl w:val="0"/>
          <w:numId w:val="12"/>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一旦出现以下几种情况不予验收：</w:t>
      </w:r>
    </w:p>
    <w:p>
      <w:pPr>
        <w:numPr>
          <w:ilvl w:val="0"/>
          <w:numId w:val="13"/>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现场物资资质证书有缺失、资质证书注明日期不在有效期范围内或时间逻辑上有误等。出现以上任何意问题，由乙方整改，整改完成前，甲方不签收货物，由乙方自行整改完成后报甲方确认，确认后再次验收。</w:t>
      </w:r>
    </w:p>
    <w:p>
      <w:pPr>
        <w:numPr>
          <w:ilvl w:val="0"/>
          <w:numId w:val="13"/>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所到物资实体与合同技术规格书提及的设计、制造、试验、检测、验收、安全、电器性能等相关内容不匹配。甲方要求乙方将问题物资退回，待物资重新更换到位后，乙方通知甲方人员重新检验。</w:t>
      </w:r>
    </w:p>
    <w:p>
      <w:pPr>
        <w:numPr>
          <w:ilvl w:val="0"/>
          <w:numId w:val="13"/>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设备外观有损坏，影响或可能影响设备主体使用功能及误送的物资，该物资需进行更换。</w:t>
      </w:r>
    </w:p>
    <w:p>
      <w:pPr>
        <w:numPr>
          <w:ilvl w:val="0"/>
          <w:numId w:val="12"/>
        </w:numPr>
        <w:spacing w:line="360" w:lineRule="auto"/>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因材料、设备验收不合格产生的一切费用由乙方承担。</w:t>
      </w:r>
    </w:p>
    <w:p>
      <w:pPr>
        <w:spacing w:line="240" w:lineRule="auto"/>
        <w:jc w:val="left"/>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11. 其它</w:t>
      </w:r>
    </w:p>
    <w:p>
      <w:pPr>
        <w:numPr>
          <w:ilvl w:val="0"/>
          <w:numId w:val="14"/>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如中标人供货进度不能满足施工需要，招标人有权采取紧急措施，另行采购以确保工程进度，也可采取终止合同措施，由此造成的一切经济损失由中标人承担。</w:t>
      </w:r>
    </w:p>
    <w:p>
      <w:pPr>
        <w:numPr>
          <w:ilvl w:val="0"/>
          <w:numId w:val="14"/>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本次招标数量仅供招标参考，实际订货规格、数量以最终施工设计图为准。</w:t>
      </w:r>
    </w:p>
    <w:p>
      <w:pPr>
        <w:numPr>
          <w:ilvl w:val="0"/>
          <w:numId w:val="14"/>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参选人提供的所有文件及相关证明材料必须真实、有效，否则将导致废标，对招标人造成负面影响的，招标人有权提起索赔。制造商必须具有有效的ISO9001质量体系认证、ISO14001环境管理体系OHSAS18001职业健康安全管理体系；企业注册资金应不低于1000万元人民币，近5年内具有城市轨道交通（或铁路或机场或大型场馆）工程的供货业绩的证明文件。</w:t>
      </w:r>
    </w:p>
    <w:p>
      <w:pPr>
        <w:numPr>
          <w:ilvl w:val="0"/>
          <w:numId w:val="14"/>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技术协议内容包含但不限于标前承诺，标前谈判纪要，标前技术规格书响应等文件。</w:t>
      </w:r>
    </w:p>
    <w:p>
      <w:pPr>
        <w:numPr>
          <w:ilvl w:val="0"/>
          <w:numId w:val="14"/>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卖方提供的资料和产品应满足本项目相关验收要求。</w:t>
      </w:r>
    </w:p>
    <w:p>
      <w:pPr>
        <w:numPr>
          <w:ilvl w:val="0"/>
          <w:numId w:val="14"/>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卖方参与进行的本合同设备的设计联络会议纪要也是本合同技术协议的组成部分，与本协议具有同等法律效力，两者如有出入以时间在后的描述为准。</w:t>
      </w:r>
    </w:p>
    <w:p>
      <w:pPr>
        <w:numPr>
          <w:ilvl w:val="0"/>
          <w:numId w:val="14"/>
        </w:numPr>
        <w:spacing w:line="360" w:lineRule="auto"/>
        <w:ind w:firstLine="1"/>
        <w:outlineLvl w:val="9"/>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本合同技术协议未尽事宜按照相关规范及标准执行。</w:t>
      </w:r>
    </w:p>
    <w:p>
      <w:pPr>
        <w:spacing w:line="360" w:lineRule="auto"/>
        <w:ind w:firstLine="521"/>
        <w:rPr>
          <w:rFonts w:hint="eastAsia" w:ascii="方正仿宋_GBK" w:hAnsi="方正仿宋_GBK" w:eastAsia="方正仿宋_GBK" w:cs="方正仿宋_GBK"/>
          <w:sz w:val="18"/>
          <w:szCs w:val="18"/>
        </w:rPr>
      </w:pPr>
    </w:p>
    <w:p>
      <w:pPr>
        <w:rPr>
          <w:rFonts w:hint="eastAsia" w:ascii="方正仿宋_GBK" w:hAnsi="方正仿宋_GBK" w:eastAsia="方正仿宋_GBK" w:cs="方正仿宋_GBK"/>
          <w:lang w:val="en-US" w:eastAsia="zh-CN"/>
        </w:rPr>
      </w:pPr>
    </w:p>
    <w:p>
      <w:pPr>
        <w:pStyle w:val="3"/>
        <w:numPr>
          <w:ilvl w:val="0"/>
          <w:numId w:val="0"/>
        </w:numPr>
        <w:snapToGrid w:val="0"/>
        <w:spacing w:before="0" w:after="312" w:afterAutospacing="0" w:line="360" w:lineRule="auto"/>
        <w:jc w:val="center"/>
        <w:rPr>
          <w:rFonts w:hint="eastAsia" w:ascii="方正仿宋_GBK" w:hAnsi="方正仿宋_GBK" w:eastAsia="方正仿宋_GBK" w:cs="方正仿宋_GBK"/>
          <w:snapToGrid w:val="0"/>
          <w:color w:val="auto"/>
          <w:kern w:val="0"/>
          <w:sz w:val="32"/>
          <w:szCs w:val="32"/>
          <w:highlight w:val="none"/>
        </w:rPr>
      </w:pPr>
      <w:bookmarkStart w:id="59" w:name="_Toc14205"/>
      <w:bookmarkStart w:id="60" w:name="_Toc30325"/>
      <w:r>
        <w:rPr>
          <w:rFonts w:hint="eastAsia" w:ascii="方正仿宋_GBK" w:hAnsi="方正仿宋_GBK" w:eastAsia="方正仿宋_GBK" w:cs="方正仿宋_GBK"/>
          <w:snapToGrid w:val="0"/>
          <w:color w:val="auto"/>
          <w:kern w:val="0"/>
          <w:sz w:val="32"/>
          <w:szCs w:val="32"/>
          <w:highlight w:val="none"/>
        </w:rPr>
        <w:br w:type="column"/>
      </w:r>
      <w:r>
        <w:rPr>
          <w:rFonts w:hint="eastAsia" w:ascii="方正仿宋_GBK" w:hAnsi="方正仿宋_GBK" w:eastAsia="方正仿宋_GBK" w:cs="方正仿宋_GBK"/>
          <w:snapToGrid w:val="0"/>
          <w:color w:val="auto"/>
          <w:kern w:val="0"/>
          <w:sz w:val="32"/>
          <w:szCs w:val="32"/>
          <w:highlight w:val="none"/>
        </w:rPr>
        <w:t>第三部分 报价组成</w:t>
      </w:r>
      <w:bookmarkEnd w:id="57"/>
      <w:bookmarkEnd w:id="58"/>
      <w:bookmarkEnd w:id="59"/>
      <w:bookmarkEnd w:id="60"/>
    </w:p>
    <w:p>
      <w:pPr>
        <w:spacing w:line="360" w:lineRule="auto"/>
        <w:ind w:firstLine="560" w:firstLineChars="200"/>
        <w:rPr>
          <w:rFonts w:hint="eastAsia" w:ascii="方正仿宋_GBK" w:hAnsi="方正仿宋_GBK" w:eastAsia="方正仿宋_GBK" w:cs="方正仿宋_GBK"/>
          <w:color w:val="auto"/>
          <w:sz w:val="28"/>
          <w:szCs w:val="28"/>
          <w:highlight w:val="none"/>
          <w:lang w:val="en-US" w:eastAsia="zh-CN"/>
        </w:rPr>
      </w:pPr>
      <w:bookmarkStart w:id="61" w:name="_Toc18413"/>
      <w:r>
        <w:rPr>
          <w:rFonts w:hint="eastAsia" w:ascii="方正仿宋_GBK" w:hAnsi="方正仿宋_GBK" w:eastAsia="方正仿宋_GBK" w:cs="方正仿宋_GBK"/>
          <w:color w:val="auto"/>
          <w:sz w:val="28"/>
          <w:szCs w:val="28"/>
          <w:highlight w:val="none"/>
          <w:lang w:val="en-US" w:eastAsia="zh-CN"/>
        </w:rPr>
        <w:t>1.</w:t>
      </w:r>
      <w:bookmarkEnd w:id="61"/>
      <w:r>
        <w:rPr>
          <w:rFonts w:hint="eastAsia" w:ascii="方正仿宋_GBK" w:hAnsi="方正仿宋_GBK" w:eastAsia="方正仿宋_GBK" w:cs="方正仿宋_GBK"/>
          <w:color w:val="auto"/>
          <w:sz w:val="28"/>
          <w:szCs w:val="28"/>
          <w:highlight w:val="none"/>
          <w:lang w:val="en-US" w:eastAsia="zh-CN"/>
        </w:rPr>
        <w:t>报价与结算原则：本项目采用工程量清单计价模式，综合单价包干。</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报价范围：各</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对</w:t>
      </w:r>
      <w:r>
        <w:rPr>
          <w:rFonts w:hint="eastAsia" w:ascii="方正仿宋_GBK" w:hAnsi="方正仿宋_GBK" w:eastAsia="方正仿宋_GBK" w:cs="方正仿宋_GBK"/>
          <w:color w:val="auto"/>
          <w:sz w:val="28"/>
          <w:szCs w:val="28"/>
          <w:highlight w:val="none"/>
          <w:lang w:val="en-US" w:eastAsia="zh-CN"/>
        </w:rPr>
        <w:t>比选</w:t>
      </w:r>
      <w:r>
        <w:rPr>
          <w:rFonts w:hint="eastAsia" w:ascii="方正仿宋_GBK" w:hAnsi="方正仿宋_GBK" w:eastAsia="方正仿宋_GBK" w:cs="方正仿宋_GBK"/>
          <w:color w:val="auto"/>
          <w:sz w:val="28"/>
          <w:szCs w:val="28"/>
          <w:highlight w:val="none"/>
        </w:rPr>
        <w:t>范围内的所有工程量内容进行报价。</w:t>
      </w:r>
    </w:p>
    <w:p>
      <w:pPr>
        <w:spacing w:line="360" w:lineRule="auto"/>
        <w:ind w:firstLine="560" w:firstLineChars="20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价格组成：</w:t>
      </w:r>
      <w:r>
        <w:rPr>
          <w:rFonts w:hint="eastAsia" w:ascii="方正仿宋_GBK" w:hAnsi="方正仿宋_GBK" w:eastAsia="方正仿宋_GBK" w:cs="方正仿宋_GBK"/>
          <w:color w:val="auto"/>
          <w:sz w:val="28"/>
          <w:szCs w:val="28"/>
          <w:highlight w:val="none"/>
          <w:lang w:eastAsia="zh-CN"/>
        </w:rPr>
        <w:t>包括但不限于完成合同实施和完成本工程范围内系统设备及器材的制造、包装运输、仓储、安装督导、各类配合及质保期内服务所需费用；设计联络、供货协调、驻厂监造、出厂验收、人员培训（包括第二次设计联络、驻厂监造、出厂验收、工厂培训等活动的人员提供办公环境、食宿、交通（（其中，远途交通以航空方式为主）等费用）、文件资料、随机专用工具、随机试验设备、随机备品备件等所需费用；技术专利、保险、缺陷修复、管理、利润、税金及其它相关服务等费用，以及本合同中明示或暗示的所有一切风险、责任和义务等费用。</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报价以比选文件所提供的数量为准，如果相同型号如出现两种及两种以上不同报价的，以最低价为准。</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送货地址：</w:t>
      </w:r>
      <w:r>
        <w:rPr>
          <w:rFonts w:hint="eastAsia" w:ascii="方正仿宋_GBK" w:hAnsi="方正仿宋_GBK" w:eastAsia="方正仿宋_GBK" w:cs="方正仿宋_GBK"/>
          <w:color w:val="auto"/>
          <w:sz w:val="28"/>
          <w:szCs w:val="28"/>
          <w:highlight w:val="none"/>
          <w:lang w:eastAsia="zh-CN"/>
        </w:rPr>
        <w:t>重庆轨道交通九号线二期工程</w:t>
      </w:r>
      <w:r>
        <w:rPr>
          <w:rFonts w:hint="eastAsia" w:ascii="方正仿宋_GBK" w:hAnsi="方正仿宋_GBK" w:eastAsia="方正仿宋_GBK" w:cs="方正仿宋_GBK"/>
          <w:color w:val="auto"/>
          <w:sz w:val="28"/>
          <w:szCs w:val="28"/>
          <w:highlight w:val="none"/>
        </w:rPr>
        <w:t>各站点施工现场</w:t>
      </w:r>
      <w:r>
        <w:rPr>
          <w:rFonts w:hint="eastAsia" w:ascii="方正仿宋_GBK" w:hAnsi="方正仿宋_GBK" w:eastAsia="方正仿宋_GBK" w:cs="方正仿宋_GBK"/>
          <w:color w:val="auto"/>
          <w:sz w:val="28"/>
          <w:szCs w:val="28"/>
          <w:highlight w:val="none"/>
          <w:lang w:eastAsia="zh-CN"/>
        </w:rPr>
        <w:t>。</w:t>
      </w:r>
    </w:p>
    <w:p>
      <w:pPr>
        <w:rPr>
          <w:rFonts w:hint="eastAsia" w:ascii="方正仿宋_GBK" w:hAnsi="方正仿宋_GBK" w:eastAsia="方正仿宋_GBK" w:cs="方正仿宋_GBK"/>
          <w:snapToGrid w:val="0"/>
          <w:color w:val="auto"/>
          <w:kern w:val="0"/>
          <w:sz w:val="32"/>
          <w:szCs w:val="32"/>
          <w:highlight w:val="none"/>
        </w:rPr>
      </w:pPr>
      <w:bookmarkStart w:id="62" w:name="_Toc30731"/>
      <w:bookmarkStart w:id="63" w:name="_Toc29631"/>
      <w:r>
        <w:rPr>
          <w:rFonts w:hint="eastAsia" w:ascii="方正仿宋_GBK" w:hAnsi="方正仿宋_GBK" w:eastAsia="方正仿宋_GBK" w:cs="方正仿宋_GBK"/>
          <w:snapToGrid w:val="0"/>
          <w:color w:val="auto"/>
          <w:kern w:val="0"/>
          <w:sz w:val="32"/>
          <w:szCs w:val="32"/>
          <w:highlight w:val="none"/>
        </w:rPr>
        <w:br w:type="page"/>
      </w:r>
    </w:p>
    <w:p>
      <w:pPr>
        <w:pStyle w:val="3"/>
        <w:snapToGrid w:val="0"/>
        <w:spacing w:before="0" w:after="0" w:line="360" w:lineRule="auto"/>
        <w:jc w:val="center"/>
        <w:rPr>
          <w:rFonts w:hint="eastAsia" w:ascii="方正仿宋_GBK" w:hAnsi="方正仿宋_GBK" w:eastAsia="方正仿宋_GBK" w:cs="方正仿宋_GBK"/>
          <w:snapToGrid w:val="0"/>
          <w:color w:val="auto"/>
          <w:kern w:val="0"/>
          <w:sz w:val="32"/>
          <w:szCs w:val="32"/>
          <w:highlight w:val="none"/>
          <w:lang w:val="en-US" w:eastAsia="zh-CN"/>
        </w:rPr>
      </w:pPr>
      <w:bookmarkStart w:id="64" w:name="_Toc21729"/>
      <w:bookmarkStart w:id="65" w:name="_Toc28970"/>
      <w:r>
        <w:rPr>
          <w:rFonts w:hint="eastAsia" w:ascii="方正仿宋_GBK" w:hAnsi="方正仿宋_GBK" w:eastAsia="方正仿宋_GBK" w:cs="方正仿宋_GBK"/>
          <w:snapToGrid w:val="0"/>
          <w:color w:val="auto"/>
          <w:kern w:val="0"/>
          <w:sz w:val="32"/>
          <w:szCs w:val="32"/>
          <w:highlight w:val="none"/>
        </w:rPr>
        <w:t>第四部分 参选文件格式</w:t>
      </w:r>
      <w:bookmarkEnd w:id="62"/>
      <w:bookmarkEnd w:id="63"/>
      <w:r>
        <w:rPr>
          <w:rFonts w:hint="eastAsia" w:ascii="方正仿宋_GBK" w:hAnsi="方正仿宋_GBK" w:eastAsia="方正仿宋_GBK" w:cs="方正仿宋_GBK"/>
          <w:snapToGrid w:val="0"/>
          <w:color w:val="auto"/>
          <w:kern w:val="0"/>
          <w:sz w:val="32"/>
          <w:szCs w:val="32"/>
          <w:highlight w:val="none"/>
          <w:lang w:val="en-US" w:eastAsia="zh-CN"/>
        </w:rPr>
        <w:t>和编制要求</w:t>
      </w:r>
      <w:bookmarkEnd w:id="64"/>
      <w:bookmarkEnd w:id="65"/>
    </w:p>
    <w:p>
      <w:pPr>
        <w:rPr>
          <w:rFonts w:hint="eastAsia" w:ascii="方正仿宋_GBK" w:hAnsi="方正仿宋_GBK" w:eastAsia="方正仿宋_GBK" w:cs="方正仿宋_GBK"/>
          <w:color w:val="auto"/>
          <w:highlight w:val="none"/>
        </w:rPr>
      </w:pP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应仔细阅读比选文件，了解比选文件的要求。在完全了解比选货物的要求及商务条件后，编制参选文件。</w:t>
      </w:r>
    </w:p>
    <w:p>
      <w:pPr>
        <w:pStyle w:val="5"/>
        <w:spacing w:line="360" w:lineRule="auto"/>
        <w:rPr>
          <w:rFonts w:hint="eastAsia" w:ascii="方正仿宋_GBK" w:hAnsi="方正仿宋_GBK" w:eastAsia="方正仿宋_GBK" w:cs="方正仿宋_GBK"/>
          <w:color w:val="auto"/>
          <w:sz w:val="28"/>
          <w:szCs w:val="28"/>
          <w:highlight w:val="none"/>
        </w:rPr>
      </w:pPr>
      <w:bookmarkStart w:id="66" w:name="_Toc32763"/>
      <w:bookmarkStart w:id="67" w:name="_Toc32077"/>
      <w:bookmarkStart w:id="68" w:name="_Toc14887"/>
      <w:bookmarkStart w:id="69" w:name="_Toc10554"/>
      <w:r>
        <w:rPr>
          <w:rFonts w:hint="eastAsia" w:ascii="方正仿宋_GBK" w:hAnsi="方正仿宋_GBK" w:eastAsia="方正仿宋_GBK" w:cs="方正仿宋_GBK"/>
          <w:color w:val="auto"/>
          <w:sz w:val="28"/>
          <w:szCs w:val="28"/>
          <w:highlight w:val="none"/>
        </w:rPr>
        <w:t>1.参选文件的语言及计量单位</w:t>
      </w:r>
      <w:bookmarkEnd w:id="66"/>
      <w:bookmarkEnd w:id="67"/>
      <w:bookmarkEnd w:id="68"/>
      <w:bookmarkEnd w:id="69"/>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的参选文件以及</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就有关参选的所有来往函电均应使用中文。</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1.2参选文件中所使用的计量单位除比选文件中有特殊规定外，一律使用法定计量单位SI制。</w:t>
      </w:r>
    </w:p>
    <w:p>
      <w:pPr>
        <w:pStyle w:val="5"/>
        <w:spacing w:line="360" w:lineRule="auto"/>
        <w:rPr>
          <w:rFonts w:hint="eastAsia" w:ascii="方正仿宋_GBK" w:hAnsi="方正仿宋_GBK" w:eastAsia="方正仿宋_GBK" w:cs="方正仿宋_GBK"/>
          <w:color w:val="auto"/>
          <w:sz w:val="28"/>
          <w:szCs w:val="28"/>
          <w:highlight w:val="none"/>
        </w:rPr>
      </w:pPr>
      <w:bookmarkStart w:id="70" w:name="_Toc24253"/>
      <w:bookmarkStart w:id="71" w:name="_Toc20770"/>
      <w:bookmarkStart w:id="72" w:name="_Toc14506"/>
      <w:bookmarkStart w:id="73" w:name="_Toc964"/>
      <w:r>
        <w:rPr>
          <w:rFonts w:hint="eastAsia" w:ascii="方正仿宋_GBK" w:hAnsi="方正仿宋_GBK" w:eastAsia="方正仿宋_GBK" w:cs="方正仿宋_GBK"/>
          <w:color w:val="auto"/>
          <w:sz w:val="28"/>
          <w:szCs w:val="28"/>
          <w:highlight w:val="none"/>
        </w:rPr>
        <w:t>2.参选货币</w:t>
      </w:r>
      <w:bookmarkEnd w:id="70"/>
      <w:bookmarkEnd w:id="71"/>
      <w:bookmarkEnd w:id="72"/>
      <w:bookmarkEnd w:id="73"/>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参选应以人民币报价。</w:t>
      </w:r>
    </w:p>
    <w:p>
      <w:pPr>
        <w:pStyle w:val="5"/>
        <w:spacing w:line="360" w:lineRule="auto"/>
        <w:rPr>
          <w:rFonts w:hint="eastAsia" w:ascii="方正仿宋_GBK" w:hAnsi="方正仿宋_GBK" w:eastAsia="方正仿宋_GBK" w:cs="方正仿宋_GBK"/>
          <w:color w:val="auto"/>
          <w:sz w:val="28"/>
          <w:szCs w:val="28"/>
          <w:highlight w:val="none"/>
        </w:rPr>
      </w:pPr>
      <w:bookmarkStart w:id="74" w:name="_Toc13884"/>
      <w:bookmarkStart w:id="75" w:name="_Toc22567"/>
      <w:bookmarkStart w:id="76" w:name="_Toc20337"/>
      <w:bookmarkStart w:id="77" w:name="_Toc31081"/>
      <w:r>
        <w:rPr>
          <w:rFonts w:hint="eastAsia" w:ascii="方正仿宋_GBK" w:hAnsi="方正仿宋_GBK" w:eastAsia="方正仿宋_GBK" w:cs="方正仿宋_GBK"/>
          <w:color w:val="auto"/>
          <w:sz w:val="28"/>
          <w:szCs w:val="28"/>
          <w:highlight w:val="none"/>
        </w:rPr>
        <w:t>3.参选文件</w:t>
      </w:r>
      <w:r>
        <w:rPr>
          <w:rFonts w:hint="eastAsia" w:ascii="方正仿宋_GBK" w:hAnsi="方正仿宋_GBK" w:eastAsia="方正仿宋_GBK" w:cs="方正仿宋_GBK"/>
          <w:color w:val="auto"/>
          <w:sz w:val="28"/>
          <w:szCs w:val="28"/>
          <w:highlight w:val="none"/>
          <w:lang w:val="en-US" w:eastAsia="zh-CN"/>
        </w:rPr>
        <w:t>的编制</w:t>
      </w:r>
      <w:r>
        <w:rPr>
          <w:rFonts w:hint="eastAsia" w:ascii="方正仿宋_GBK" w:hAnsi="方正仿宋_GBK" w:eastAsia="方正仿宋_GBK" w:cs="方正仿宋_GBK"/>
          <w:color w:val="auto"/>
          <w:sz w:val="28"/>
          <w:szCs w:val="28"/>
          <w:highlight w:val="none"/>
        </w:rPr>
        <w:t>要求</w:t>
      </w:r>
      <w:bookmarkEnd w:id="74"/>
      <w:bookmarkEnd w:id="75"/>
      <w:bookmarkEnd w:id="76"/>
      <w:bookmarkEnd w:id="77"/>
    </w:p>
    <w:p>
      <w:pPr>
        <w:adjustRightInd w:val="0"/>
        <w:snapToGrid w:val="0"/>
        <w:spacing w:line="360" w:lineRule="auto"/>
        <w:rPr>
          <w:rFonts w:hint="eastAsia" w:ascii="方正仿宋_GBK" w:hAnsi="方正仿宋_GBK" w:eastAsia="方正仿宋_GBK" w:cs="方正仿宋_GBK"/>
          <w:b/>
          <w:bCs/>
          <w:color w:val="auto"/>
          <w:sz w:val="28"/>
          <w:szCs w:val="28"/>
          <w:highlight w:val="none"/>
          <w:u w:val="single"/>
          <w:lang w:val="en-US"/>
        </w:rPr>
      </w:pPr>
      <w:r>
        <w:rPr>
          <w:rFonts w:hint="eastAsia" w:ascii="方正仿宋_GBK" w:hAnsi="方正仿宋_GBK" w:eastAsia="方正仿宋_GBK" w:cs="方正仿宋_GBK"/>
          <w:b/>
          <w:bCs/>
          <w:color w:val="auto"/>
          <w:sz w:val="28"/>
          <w:szCs w:val="28"/>
          <w:highlight w:val="none"/>
          <w:u w:val="single"/>
          <w:lang w:val="en-US" w:eastAsia="zh-CN"/>
        </w:rPr>
        <w:t>1、纸质件：</w:t>
      </w:r>
      <w:r>
        <w:rPr>
          <w:rFonts w:hint="eastAsia" w:ascii="方正仿宋_GBK" w:hAnsi="方正仿宋_GBK" w:eastAsia="方正仿宋_GBK" w:cs="方正仿宋_GBK"/>
          <w:b/>
          <w:bCs/>
          <w:color w:val="auto"/>
          <w:sz w:val="28"/>
          <w:szCs w:val="28"/>
          <w:highlight w:val="none"/>
          <w:u w:val="single"/>
        </w:rPr>
        <w:t>参选文件需提交纸质</w:t>
      </w:r>
      <w:r>
        <w:rPr>
          <w:rFonts w:hint="eastAsia" w:ascii="方正仿宋_GBK" w:hAnsi="方正仿宋_GBK" w:eastAsia="方正仿宋_GBK" w:cs="方正仿宋_GBK"/>
          <w:b/>
          <w:bCs/>
          <w:color w:val="auto"/>
          <w:sz w:val="28"/>
          <w:szCs w:val="28"/>
          <w:highlight w:val="none"/>
          <w:u w:val="single"/>
          <w:lang w:val="en-US" w:eastAsia="zh-CN"/>
        </w:rPr>
        <w:t>文件（加盖鲜公章）2份</w:t>
      </w:r>
    </w:p>
    <w:p>
      <w:pPr>
        <w:adjustRightInd w:val="0"/>
        <w:snapToGrid w:val="0"/>
        <w:spacing w:line="360" w:lineRule="auto"/>
        <w:rPr>
          <w:rFonts w:hint="eastAsia" w:ascii="方正仿宋_GBK" w:hAnsi="方正仿宋_GBK" w:eastAsia="方正仿宋_GBK" w:cs="方正仿宋_GBK"/>
          <w:color w:val="auto"/>
          <w:sz w:val="28"/>
          <w:szCs w:val="28"/>
          <w:highlight w:val="none"/>
          <w:lang w:val="en-US"/>
        </w:rPr>
      </w:pPr>
      <w:r>
        <w:rPr>
          <w:rFonts w:hint="eastAsia" w:ascii="方正仿宋_GBK" w:hAnsi="方正仿宋_GBK" w:eastAsia="方正仿宋_GBK" w:cs="方正仿宋_GBK"/>
          <w:b/>
          <w:bCs/>
          <w:color w:val="auto"/>
          <w:sz w:val="28"/>
          <w:szCs w:val="28"/>
          <w:highlight w:val="none"/>
          <w:u w:val="single"/>
          <w:lang w:val="en-US" w:eastAsia="zh-CN"/>
        </w:rPr>
        <w:t>2、电子件：电子件拷贝至U盘或光盘              1份</w:t>
      </w:r>
    </w:p>
    <w:p>
      <w:pPr>
        <w:adjustRightInd w:val="0"/>
        <w:snapToGrid w:val="0"/>
        <w:spacing w:line="360" w:lineRule="auto"/>
        <w:rPr>
          <w:rFonts w:hint="eastAsia" w:ascii="方正仿宋_GBK" w:hAnsi="方正仿宋_GBK" w:eastAsia="方正仿宋_GBK" w:cs="方正仿宋_GBK"/>
          <w:color w:val="auto"/>
          <w:sz w:val="28"/>
          <w:szCs w:val="28"/>
          <w:highlight w:val="none"/>
        </w:rPr>
      </w:pPr>
      <w:bookmarkStart w:id="78" w:name="_Toc30157"/>
      <w:bookmarkStart w:id="79" w:name="_Toc6507"/>
      <w:bookmarkStart w:id="80" w:name="_Toc19840"/>
      <w:r>
        <w:rPr>
          <w:rFonts w:hint="eastAsia" w:ascii="方正仿宋_GBK" w:hAnsi="方正仿宋_GBK" w:eastAsia="方正仿宋_GBK" w:cs="方正仿宋_GBK"/>
          <w:color w:val="auto"/>
          <w:sz w:val="28"/>
          <w:szCs w:val="28"/>
          <w:highlight w:val="none"/>
        </w:rPr>
        <w:t>参选文件格式</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3.1   封面        </w:t>
      </w:r>
      <w:r>
        <w:rPr>
          <w:rFonts w:hint="eastAsia" w:ascii="方正仿宋_GBK" w:hAnsi="方正仿宋_GBK" w:eastAsia="方正仿宋_GBK" w:cs="方正仿宋_GBK"/>
          <w:color w:val="auto"/>
          <w:sz w:val="28"/>
          <w:szCs w:val="28"/>
          <w:highlight w:val="none"/>
        </w:rPr>
        <w:t>(详见附件一)</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28"/>
          <w:szCs w:val="28"/>
          <w:highlight w:val="none"/>
          <w:lang w:val="en-US" w:eastAsia="zh-CN"/>
        </w:rPr>
        <w:t>参选</w:t>
      </w:r>
      <w:r>
        <w:rPr>
          <w:rFonts w:hint="eastAsia" w:ascii="方正仿宋_GBK" w:hAnsi="方正仿宋_GBK" w:eastAsia="方正仿宋_GBK" w:cs="方正仿宋_GBK"/>
          <w:color w:val="auto"/>
          <w:sz w:val="28"/>
          <w:szCs w:val="28"/>
          <w:highlight w:val="none"/>
        </w:rPr>
        <w:t>函      (详见附件</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 xml:space="preserve">   参选报价表  (详见附件</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 xml:space="preserve">   技术偏离表  (详见附件</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 xml:space="preserve">   参选承诺函 （详见附件</w:t>
      </w:r>
      <w:r>
        <w:rPr>
          <w:rFonts w:hint="eastAsia" w:ascii="方正仿宋_GBK" w:hAnsi="方正仿宋_GBK" w:eastAsia="方正仿宋_GBK" w:cs="方正仿宋_GBK"/>
          <w:color w:val="auto"/>
          <w:sz w:val="28"/>
          <w:szCs w:val="28"/>
          <w:highlight w:val="none"/>
          <w:lang w:val="en-US" w:eastAsia="zh-CN"/>
        </w:rPr>
        <w:t>五</w:t>
      </w:r>
      <w:r>
        <w:rPr>
          <w:rFonts w:hint="eastAsia" w:ascii="方正仿宋_GBK" w:hAnsi="方正仿宋_GBK" w:eastAsia="方正仿宋_GBK" w:cs="方正仿宋_GBK"/>
          <w:color w:val="auto"/>
          <w:sz w:val="28"/>
          <w:szCs w:val="28"/>
          <w:highlight w:val="none"/>
        </w:rPr>
        <w:t>）</w:t>
      </w:r>
    </w:p>
    <w:p>
      <w:pPr>
        <w:adjustRightInd w:val="0"/>
        <w:snapToGrid w:val="0"/>
        <w:spacing w:line="360" w:lineRule="auto"/>
        <w:ind w:firstLine="700" w:firstLineChars="250"/>
        <w:rPr>
          <w:rFonts w:hint="eastAsia" w:ascii="方正仿宋_GBK" w:hAnsi="方正仿宋_GBK" w:eastAsia="方正仿宋_GBK" w:cs="方正仿宋_GBK"/>
          <w:bCs/>
          <w:color w:val="auto"/>
          <w:sz w:val="28"/>
          <w:szCs w:val="28"/>
          <w:highlight w:val="none"/>
        </w:rPr>
      </w:pPr>
      <w:r>
        <w:rPr>
          <w:rFonts w:hint="eastAsia" w:ascii="方正仿宋_GBK" w:hAnsi="方正仿宋_GBK" w:eastAsia="方正仿宋_GBK" w:cs="方正仿宋_GBK"/>
          <w:bCs/>
          <w:color w:val="auto"/>
          <w:sz w:val="28"/>
          <w:szCs w:val="28"/>
          <w:highlight w:val="none"/>
        </w:rPr>
        <w:t>3.</w:t>
      </w:r>
      <w:r>
        <w:rPr>
          <w:rFonts w:hint="eastAsia" w:ascii="方正仿宋_GBK" w:hAnsi="方正仿宋_GBK" w:eastAsia="方正仿宋_GBK" w:cs="方正仿宋_GBK"/>
          <w:bCs/>
          <w:color w:val="auto"/>
          <w:sz w:val="28"/>
          <w:szCs w:val="28"/>
          <w:highlight w:val="none"/>
          <w:lang w:val="en-US" w:eastAsia="zh-CN"/>
        </w:rPr>
        <w:t>6</w:t>
      </w:r>
      <w:r>
        <w:rPr>
          <w:rFonts w:hint="eastAsia" w:ascii="方正仿宋_GBK" w:hAnsi="方正仿宋_GBK" w:eastAsia="方正仿宋_GBK" w:cs="方正仿宋_GBK"/>
          <w:bCs/>
          <w:color w:val="auto"/>
          <w:sz w:val="28"/>
          <w:szCs w:val="28"/>
          <w:highlight w:val="none"/>
        </w:rPr>
        <w:t xml:space="preserve">  售后维保服务体系及承诺（格式自拟）</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val="en-US" w:eastAsia="zh-CN"/>
        </w:rPr>
        <w:t>7</w:t>
      </w:r>
      <w:r>
        <w:rPr>
          <w:rFonts w:hint="eastAsia" w:ascii="方正仿宋_GBK" w:hAnsi="方正仿宋_GBK" w:eastAsia="方正仿宋_GBK" w:cs="方正仿宋_GBK"/>
          <w:color w:val="auto"/>
          <w:sz w:val="28"/>
          <w:szCs w:val="28"/>
          <w:highlight w:val="none"/>
        </w:rPr>
        <w:t xml:space="preserve">  资格审查文件</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rPr>
        <w:t>）营业执照副本的复印件</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）法人代表授权</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书(详见附件五)</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一般纳税人证明资料（详见参选人须知）</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供货业绩（详见参选人须知）</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）产品</w:t>
      </w:r>
      <w:r>
        <w:rPr>
          <w:rFonts w:hint="eastAsia" w:ascii="方正仿宋_GBK" w:hAnsi="方正仿宋_GBK" w:eastAsia="方正仿宋_GBK" w:cs="方正仿宋_GBK"/>
          <w:color w:val="auto"/>
          <w:sz w:val="28"/>
          <w:szCs w:val="28"/>
          <w:highlight w:val="none"/>
          <w:lang w:val="en-US" w:eastAsia="zh-CN"/>
        </w:rPr>
        <w:t>相关</w:t>
      </w:r>
      <w:r>
        <w:rPr>
          <w:rFonts w:hint="eastAsia" w:ascii="方正仿宋_GBK" w:hAnsi="方正仿宋_GBK" w:eastAsia="方正仿宋_GBK" w:cs="方正仿宋_GBK"/>
          <w:color w:val="auto"/>
          <w:sz w:val="28"/>
          <w:szCs w:val="28"/>
          <w:highlight w:val="none"/>
        </w:rPr>
        <w:t>检测报告</w:t>
      </w:r>
    </w:p>
    <w:p>
      <w:pPr>
        <w:adjustRightInd w:val="0"/>
        <w:snapToGrid w:val="0"/>
        <w:spacing w:line="360" w:lineRule="auto"/>
        <w:ind w:firstLine="700" w:firstLineChars="2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6</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参选人其他需要补充说明的资料</w:t>
      </w:r>
    </w:p>
    <w:p>
      <w:pPr>
        <w:adjustRightInd w:val="0"/>
        <w:snapToGrid w:val="0"/>
        <w:spacing w:line="360" w:lineRule="auto"/>
        <w:ind w:firstLine="703" w:firstLineChars="250"/>
        <w:rPr>
          <w:rFonts w:hint="eastAsia" w:ascii="方正仿宋_GBK" w:hAnsi="方正仿宋_GBK" w:eastAsia="方正仿宋_GBK" w:cs="方正仿宋_GBK"/>
          <w:b/>
          <w:bCs/>
          <w:color w:val="FF0000"/>
          <w:sz w:val="28"/>
          <w:szCs w:val="28"/>
          <w:highlight w:val="none"/>
          <w:u w:val="single"/>
          <w:lang w:val="en-US" w:eastAsia="zh-CN"/>
        </w:rPr>
      </w:pPr>
      <w:r>
        <w:rPr>
          <w:rFonts w:hint="eastAsia" w:ascii="方正仿宋_GBK" w:hAnsi="方正仿宋_GBK" w:eastAsia="方正仿宋_GBK" w:cs="方正仿宋_GBK"/>
          <w:b/>
          <w:bCs/>
          <w:color w:val="FF0000"/>
          <w:sz w:val="28"/>
          <w:szCs w:val="28"/>
          <w:highlight w:val="none"/>
          <w:u w:val="single"/>
        </w:rPr>
        <w:t>（所有提供的资料，必须加盖</w:t>
      </w:r>
      <w:r>
        <w:rPr>
          <w:rFonts w:hint="eastAsia" w:ascii="方正仿宋_GBK" w:hAnsi="方正仿宋_GBK" w:eastAsia="方正仿宋_GBK" w:cs="方正仿宋_GBK"/>
          <w:b/>
          <w:bCs/>
          <w:color w:val="FF0000"/>
          <w:sz w:val="28"/>
          <w:szCs w:val="28"/>
          <w:highlight w:val="none"/>
          <w:u w:val="single"/>
          <w:lang w:val="en-US" w:eastAsia="zh-CN"/>
        </w:rPr>
        <w:t>公</w:t>
      </w:r>
      <w:r>
        <w:rPr>
          <w:rFonts w:hint="eastAsia" w:ascii="方正仿宋_GBK" w:hAnsi="方正仿宋_GBK" w:eastAsia="方正仿宋_GBK" w:cs="方正仿宋_GBK"/>
          <w:b/>
          <w:bCs/>
          <w:color w:val="FF0000"/>
          <w:sz w:val="28"/>
          <w:szCs w:val="28"/>
          <w:highlight w:val="none"/>
          <w:u w:val="single"/>
        </w:rPr>
        <w:t>章</w:t>
      </w:r>
      <w:r>
        <w:rPr>
          <w:rFonts w:hint="eastAsia" w:ascii="方正仿宋_GBK" w:hAnsi="方正仿宋_GBK" w:eastAsia="方正仿宋_GBK" w:cs="方正仿宋_GBK"/>
          <w:b/>
          <w:bCs/>
          <w:color w:val="FF0000"/>
          <w:sz w:val="28"/>
          <w:szCs w:val="28"/>
          <w:highlight w:val="none"/>
          <w:u w:val="single"/>
          <w:lang w:val="en-US" w:eastAsia="zh-CN"/>
        </w:rPr>
        <w:t>及骑缝章</w:t>
      </w:r>
      <w:r>
        <w:rPr>
          <w:rFonts w:hint="eastAsia" w:ascii="方正仿宋_GBK" w:hAnsi="方正仿宋_GBK" w:eastAsia="方正仿宋_GBK" w:cs="方正仿宋_GBK"/>
          <w:b/>
          <w:bCs/>
          <w:color w:val="FF0000"/>
          <w:sz w:val="28"/>
          <w:szCs w:val="28"/>
          <w:highlight w:val="none"/>
          <w:u w:val="single"/>
        </w:rPr>
        <w:t>）</w:t>
      </w:r>
    </w:p>
    <w:p>
      <w:pPr>
        <w:pStyle w:val="5"/>
        <w:spacing w:line="360" w:lineRule="auto"/>
        <w:rPr>
          <w:rFonts w:hint="eastAsia" w:ascii="方正仿宋_GBK" w:hAnsi="方正仿宋_GBK" w:eastAsia="方正仿宋_GBK" w:cs="方正仿宋_GBK"/>
          <w:color w:val="auto"/>
          <w:sz w:val="28"/>
          <w:szCs w:val="28"/>
          <w:highlight w:val="none"/>
        </w:rPr>
      </w:pPr>
      <w:bookmarkStart w:id="81" w:name="_Toc26677"/>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.参选文件的提交方式、密封及其签署</w:t>
      </w:r>
      <w:bookmarkEnd w:id="78"/>
      <w:bookmarkEnd w:id="79"/>
      <w:bookmarkEnd w:id="80"/>
      <w:bookmarkEnd w:id="81"/>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4</w:t>
      </w:r>
      <w:r>
        <w:rPr>
          <w:rFonts w:hint="eastAsia" w:ascii="方正仿宋_GBK" w:hAnsi="方正仿宋_GBK" w:eastAsia="方正仿宋_GBK" w:cs="方正仿宋_GBK"/>
          <w:color w:val="auto"/>
          <w:sz w:val="28"/>
          <w:szCs w:val="28"/>
          <w:highlight w:val="none"/>
        </w:rPr>
        <w:t>.1 提交方式：</w:t>
      </w:r>
    </w:p>
    <w:p>
      <w:pPr>
        <w:spacing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（1）参选文件“正本”</w:t>
      </w:r>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份，电子文件一份。</w:t>
      </w:r>
    </w:p>
    <w:p>
      <w:pPr>
        <w:spacing w:line="360" w:lineRule="auto"/>
        <w:ind w:firstLine="630" w:firstLineChars="22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（2）“正本”内容（内容要求详见“第四部分参选文件格式”）。</w:t>
      </w:r>
    </w:p>
    <w:p>
      <w:pPr>
        <w:spacing w:after="240" w:line="360" w:lineRule="auto"/>
        <w:ind w:firstLine="610" w:firstLineChars="218"/>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5</w:t>
      </w:r>
      <w:r>
        <w:rPr>
          <w:rFonts w:hint="eastAsia" w:ascii="方正仿宋_GBK" w:hAnsi="方正仿宋_GBK" w:eastAsia="方正仿宋_GBK" w:cs="方正仿宋_GBK"/>
          <w:color w:val="auto"/>
          <w:sz w:val="28"/>
          <w:szCs w:val="28"/>
          <w:highlight w:val="none"/>
        </w:rPr>
        <w:t xml:space="preserve">.2 </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应将参选文件密封，封口处应</w:t>
      </w:r>
      <w:r>
        <w:rPr>
          <w:rFonts w:hint="eastAsia" w:ascii="方正仿宋_GBK" w:hAnsi="方正仿宋_GBK" w:eastAsia="方正仿宋_GBK" w:cs="方正仿宋_GBK"/>
          <w:color w:val="auto"/>
          <w:sz w:val="28"/>
          <w:szCs w:val="28"/>
          <w:highlight w:val="none"/>
          <w:lang w:val="en-US" w:eastAsia="zh-CN"/>
        </w:rPr>
        <w:t>加盖</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lang w:val="en-US" w:eastAsia="zh-CN"/>
        </w:rPr>
        <w:t>公章</w:t>
      </w:r>
      <w:r>
        <w:rPr>
          <w:rFonts w:hint="eastAsia" w:ascii="方正仿宋_GBK" w:hAnsi="方正仿宋_GBK" w:eastAsia="方正仿宋_GBK" w:cs="方正仿宋_GBK"/>
          <w:color w:val="auto"/>
          <w:sz w:val="28"/>
          <w:szCs w:val="28"/>
          <w:highlight w:val="none"/>
        </w:rPr>
        <w:t>；封皮上应注明比选项目名称、</w:t>
      </w: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名称。并应在“参选文件”袋封套上写明如下内容：</w:t>
      </w:r>
    </w:p>
    <w:tbl>
      <w:tblPr>
        <w:tblStyle w:val="25"/>
        <w:tblW w:w="91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比选人的地址：</w:t>
            </w:r>
            <w:r>
              <w:rPr>
                <w:rFonts w:hint="eastAsia" w:ascii="方正仿宋_GBK" w:hAnsi="方正仿宋_GBK" w:eastAsia="方正仿宋_GBK" w:cs="方正仿宋_GBK"/>
                <w:bCs/>
                <w:color w:val="000000"/>
                <w:sz w:val="28"/>
                <w:szCs w:val="28"/>
                <w:highlight w:val="none"/>
              </w:rPr>
              <w:t>重庆市北部新区黄山大道中段信达国际A座17</w:t>
            </w:r>
            <w:r>
              <w:rPr>
                <w:rFonts w:hint="eastAsia" w:ascii="方正仿宋_GBK" w:hAnsi="方正仿宋_GBK" w:eastAsia="方正仿宋_GBK" w:cs="方正仿宋_GBK"/>
                <w:bCs/>
                <w:color w:val="000000"/>
                <w:sz w:val="28"/>
                <w:szCs w:val="28"/>
                <w:highlight w:val="none"/>
                <w:lang w:val="en-US" w:eastAsia="zh-CN"/>
              </w:rPr>
              <w:t>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重庆轨道交通九号线二期工程（兴科大道～花石沟）风水电系统</w:t>
            </w:r>
            <w:r>
              <w:rPr>
                <w:rFonts w:hint="eastAsia" w:ascii="方正仿宋_GBK" w:hAnsi="方正仿宋_GBK" w:eastAsia="方正仿宋_GBK" w:cs="方正仿宋_GBK"/>
                <w:color w:val="auto"/>
                <w:sz w:val="28"/>
                <w:szCs w:val="28"/>
                <w:highlight w:val="none"/>
                <w:u w:val="single"/>
                <w:lang w:val="en-US" w:eastAsia="zh-CN"/>
              </w:rPr>
              <w:t>双面彩钢复合风管</w:t>
            </w:r>
            <w:r>
              <w:rPr>
                <w:rFonts w:hint="eastAsia" w:ascii="方正仿宋_GBK" w:hAnsi="方正仿宋_GBK" w:eastAsia="方正仿宋_GBK" w:cs="方正仿宋_GBK"/>
                <w:color w:val="auto"/>
                <w:sz w:val="28"/>
                <w:szCs w:val="28"/>
                <w:highlight w:val="none"/>
              </w:rPr>
              <w:t>采购参选文件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6" w:type="dxa"/>
          </w:tcPr>
          <w:p>
            <w:pPr>
              <w:spacing w:line="360" w:lineRule="auto"/>
              <w:ind w:left="-2" w:leftChars="-1"/>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在     年    月    日    时    分前不得开启。</w:t>
            </w:r>
          </w:p>
        </w:tc>
      </w:tr>
    </w:tbl>
    <w:p>
      <w:pPr>
        <w:adjustRightInd w:val="0"/>
        <w:snapToGrid w:val="0"/>
        <w:spacing w:line="360" w:lineRule="auto"/>
        <w:ind w:firstLine="703" w:firstLineChars="250"/>
        <w:rPr>
          <w:rFonts w:hint="eastAsia" w:ascii="方正仿宋_GBK" w:hAnsi="方正仿宋_GBK" w:eastAsia="方正仿宋_GBK" w:cs="方正仿宋_GBK"/>
          <w:b/>
          <w:bCs/>
          <w:color w:val="auto"/>
          <w:sz w:val="28"/>
          <w:szCs w:val="28"/>
          <w:highlight w:val="none"/>
          <w:u w:val="single"/>
        </w:rPr>
      </w:pPr>
    </w:p>
    <w:p>
      <w:pPr>
        <w:rPr>
          <w:rFonts w:hint="eastAsia" w:ascii="方正仿宋_GBK" w:hAnsi="方正仿宋_GBK" w:eastAsia="方正仿宋_GBK" w:cs="方正仿宋_GBK"/>
          <w:snapToGrid w:val="0"/>
          <w:color w:val="auto"/>
          <w:kern w:val="0"/>
          <w:sz w:val="32"/>
          <w:szCs w:val="32"/>
          <w:highlight w:val="none"/>
        </w:rPr>
      </w:pPr>
      <w:bookmarkStart w:id="82" w:name="_Toc17480"/>
      <w:bookmarkStart w:id="83" w:name="_Toc28694"/>
      <w:bookmarkStart w:id="84" w:name="_Toc414026235"/>
      <w:r>
        <w:rPr>
          <w:rFonts w:hint="eastAsia" w:ascii="方正仿宋_GBK" w:hAnsi="方正仿宋_GBK" w:eastAsia="方正仿宋_GBK" w:cs="方正仿宋_GBK"/>
          <w:snapToGrid w:val="0"/>
          <w:color w:val="auto"/>
          <w:kern w:val="0"/>
          <w:sz w:val="32"/>
          <w:szCs w:val="32"/>
          <w:highlight w:val="none"/>
        </w:rPr>
        <w:br w:type="page"/>
      </w:r>
    </w:p>
    <w:p>
      <w:pPr>
        <w:pStyle w:val="3"/>
        <w:numPr>
          <w:ilvl w:val="0"/>
          <w:numId w:val="15"/>
        </w:numPr>
        <w:snapToGrid w:val="0"/>
        <w:spacing w:before="0" w:after="0" w:line="360" w:lineRule="auto"/>
        <w:jc w:val="center"/>
        <w:rPr>
          <w:rFonts w:hint="eastAsia" w:ascii="方正仿宋_GBK" w:hAnsi="方正仿宋_GBK" w:eastAsia="方正仿宋_GBK" w:cs="方正仿宋_GBK"/>
          <w:snapToGrid w:val="0"/>
          <w:color w:val="auto"/>
          <w:kern w:val="0"/>
          <w:sz w:val="32"/>
          <w:szCs w:val="32"/>
          <w:highlight w:val="none"/>
        </w:rPr>
      </w:pPr>
      <w:bookmarkStart w:id="85" w:name="_Toc9706"/>
      <w:bookmarkStart w:id="86" w:name="_Toc29803"/>
      <w:r>
        <w:rPr>
          <w:rFonts w:hint="eastAsia" w:ascii="方正仿宋_GBK" w:hAnsi="方正仿宋_GBK" w:eastAsia="方正仿宋_GBK" w:cs="方正仿宋_GBK"/>
          <w:snapToGrid w:val="0"/>
          <w:color w:val="auto"/>
          <w:kern w:val="0"/>
          <w:sz w:val="32"/>
          <w:szCs w:val="32"/>
          <w:highlight w:val="none"/>
        </w:rPr>
        <w:t>合同主要条款</w:t>
      </w:r>
      <w:bookmarkEnd w:id="82"/>
      <w:bookmarkEnd w:id="83"/>
      <w:bookmarkEnd w:id="84"/>
      <w:bookmarkEnd w:id="85"/>
      <w:bookmarkEnd w:id="86"/>
    </w:p>
    <w:p>
      <w:pPr>
        <w:numPr>
          <w:ilvl w:val="0"/>
          <w:numId w:val="0"/>
        </w:numPr>
        <w:rPr>
          <w:rFonts w:hint="eastAsia" w:ascii="方正仿宋_GBK" w:hAnsi="方正仿宋_GBK" w:eastAsia="方正仿宋_GBK" w:cs="方正仿宋_GBK"/>
        </w:rPr>
      </w:pPr>
    </w:p>
    <w:p>
      <w:pPr>
        <w:tabs>
          <w:tab w:val="left" w:pos="-2340"/>
        </w:tabs>
        <w:spacing w:line="360" w:lineRule="auto"/>
        <w:jc w:val="center"/>
        <w:rPr>
          <w:rFonts w:hint="eastAsia" w:ascii="方正仿宋_GBK" w:hAnsi="方正仿宋_GBK" w:eastAsia="方正仿宋_GBK" w:cs="方正仿宋_GBK"/>
          <w:b/>
          <w:spacing w:val="20"/>
          <w:position w:val="6"/>
          <w:sz w:val="36"/>
          <w:szCs w:val="36"/>
        </w:rPr>
      </w:pPr>
      <w:bookmarkStart w:id="87" w:name="_Toc31502"/>
      <w:bookmarkStart w:id="88" w:name="_Toc20445"/>
      <w:r>
        <w:rPr>
          <w:rFonts w:hint="eastAsia" w:ascii="方正仿宋_GBK" w:hAnsi="方正仿宋_GBK" w:eastAsia="方正仿宋_GBK" w:cs="方正仿宋_GBK"/>
          <w:b/>
          <w:spacing w:val="20"/>
          <w:position w:val="6"/>
          <w:sz w:val="36"/>
          <w:szCs w:val="36"/>
        </w:rPr>
        <w:t>重庆轨道交通9号线二期站后工程施工总承包XXX采购合同</w:t>
      </w:r>
    </w:p>
    <w:p>
      <w:pPr>
        <w:tabs>
          <w:tab w:val="left" w:pos="-2340"/>
        </w:tabs>
        <w:spacing w:line="360" w:lineRule="auto"/>
        <w:jc w:val="center"/>
        <w:rPr>
          <w:rFonts w:hint="eastAsia" w:ascii="方正仿宋_GBK" w:hAnsi="方正仿宋_GBK" w:eastAsia="方正仿宋_GBK" w:cs="方正仿宋_GBK"/>
          <w:spacing w:val="20"/>
          <w:position w:val="6"/>
          <w:sz w:val="24"/>
          <w:szCs w:val="24"/>
        </w:rPr>
      </w:pP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合同编号：九二期风水电-采购-2021-00-XXX</w:t>
      </w: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签约地点：中国  重庆</w:t>
      </w:r>
    </w:p>
    <w:p>
      <w:pPr>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签约时间：2021年    月    日</w:t>
      </w:r>
    </w:p>
    <w:p>
      <w:pPr>
        <w:tabs>
          <w:tab w:val="left" w:pos="6480"/>
        </w:tabs>
        <w:snapToGrid w:val="0"/>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甲方：重庆机电控股集团机电工程技术有限公司</w:t>
      </w:r>
      <w:r>
        <w:rPr>
          <w:rFonts w:hint="eastAsia" w:ascii="方正仿宋_GBK" w:hAnsi="方正仿宋_GBK" w:eastAsia="方正仿宋_GBK" w:cs="方正仿宋_GBK"/>
          <w:sz w:val="24"/>
          <w:szCs w:val="24"/>
        </w:rPr>
        <w:tab/>
      </w:r>
    </w:p>
    <w:p>
      <w:pPr>
        <w:tabs>
          <w:tab w:val="left" w:pos="6480"/>
        </w:tabs>
        <w:snapToGrid w:val="0"/>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w:t>
      </w:r>
    </w:p>
    <w:p>
      <w:pPr>
        <w:snapToGrid w:val="0"/>
        <w:spacing w:before="156" w:after="156"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依据《中华人民共和国民法典》的规定，经双方在平等互利、自愿和诚实信用的基础上签订如下合同。</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一、合同设备/材料及价格</w:t>
      </w:r>
    </w:p>
    <w:p>
      <w:pPr>
        <w:snapToGrid w:val="0"/>
        <w:spacing w:before="156" w:after="156" w:line="360" w:lineRule="auto"/>
        <w:ind w:firstLine="470" w:firstLineChars="196"/>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本合同由甲乙双方遵循我国《中华人民共和国民法典》共同订立。根据本合同规定的条款，甲方同意购买、乙方同意出售如下设备/材料：</w:t>
      </w:r>
    </w:p>
    <w:tbl>
      <w:tblPr>
        <w:tblStyle w:val="25"/>
        <w:tblW w:w="8778" w:type="dxa"/>
        <w:tblInd w:w="0" w:type="dxa"/>
        <w:tblLayout w:type="fixed"/>
        <w:tblCellMar>
          <w:top w:w="0" w:type="dxa"/>
          <w:left w:w="0" w:type="dxa"/>
          <w:bottom w:w="0" w:type="dxa"/>
          <w:right w:w="0" w:type="dxa"/>
        </w:tblCellMar>
      </w:tblPr>
      <w:tblGrid>
        <w:gridCol w:w="669"/>
        <w:gridCol w:w="849"/>
        <w:gridCol w:w="1616"/>
        <w:gridCol w:w="709"/>
        <w:gridCol w:w="831"/>
        <w:gridCol w:w="1200"/>
        <w:gridCol w:w="938"/>
        <w:gridCol w:w="975"/>
        <w:gridCol w:w="991"/>
      </w:tblGrid>
      <w:tr>
        <w:tblPrEx>
          <w:tblCellMar>
            <w:top w:w="0" w:type="dxa"/>
            <w:left w:w="0" w:type="dxa"/>
            <w:bottom w:w="0" w:type="dxa"/>
            <w:right w:w="0" w:type="dxa"/>
          </w:tblCellMar>
        </w:tblPrEx>
        <w:trPr>
          <w:trHeight w:val="6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序号</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名称</w:t>
            </w: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型号规格</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单位</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不含税单价（元）</w:t>
            </w:r>
          </w:p>
        </w:tc>
        <w:tc>
          <w:tcPr>
            <w:tcW w:w="9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含税单价（元）</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含税合价（元）</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备注</w:t>
            </w: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1</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2</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r>
        <w:tblPrEx>
          <w:tblCellMar>
            <w:top w:w="0" w:type="dxa"/>
            <w:left w:w="0" w:type="dxa"/>
            <w:bottom w:w="0" w:type="dxa"/>
            <w:right w:w="0" w:type="dxa"/>
          </w:tblCellMar>
        </w:tblPrEx>
        <w:trPr>
          <w:trHeight w:val="27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r>
        <w:tblPrEx>
          <w:tblCellMar>
            <w:top w:w="0" w:type="dxa"/>
            <w:left w:w="0" w:type="dxa"/>
            <w:bottom w:w="0" w:type="dxa"/>
            <w:right w:w="0" w:type="dxa"/>
          </w:tblCellMar>
        </w:tblPrEx>
        <w:trPr>
          <w:trHeight w:val="270" w:hRule="atLeast"/>
        </w:trPr>
        <w:tc>
          <w:tcPr>
            <w:tcW w:w="313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合计</w:t>
            </w:r>
          </w:p>
        </w:tc>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kern w:val="0"/>
                <w:sz w:val="24"/>
                <w:szCs w:val="24"/>
              </w:rPr>
              <w:t>发票类型：13%增值税专用发票</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sz w:val="24"/>
                <w:szCs w:val="24"/>
              </w:rPr>
            </w:pP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hint="eastAsia" w:ascii="方正仿宋_GBK" w:hAnsi="方正仿宋_GBK" w:eastAsia="方正仿宋_GBK" w:cs="方正仿宋_GBK"/>
                <w:b/>
                <w:color w:val="000000"/>
                <w:kern w:val="0"/>
                <w:sz w:val="24"/>
                <w:szCs w:val="24"/>
              </w:rPr>
            </w:pPr>
          </w:p>
        </w:tc>
      </w:tr>
    </w:tbl>
    <w:p>
      <w:pPr>
        <w:snapToGrid w:val="0"/>
        <w:spacing w:before="156" w:after="156" w:line="360" w:lineRule="auto"/>
        <w:ind w:firstLine="480"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以上清单数量为暂定数量，以实际交验合格数量为准。</w:t>
      </w:r>
      <w:r>
        <w:rPr>
          <w:rFonts w:hint="eastAsia" w:ascii="方正仿宋_GBK" w:hAnsi="方正仿宋_GBK" w:eastAsia="方正仿宋_GBK" w:cs="方正仿宋_GBK"/>
          <w:b/>
          <w:bCs/>
          <w:sz w:val="24"/>
          <w:szCs w:val="24"/>
        </w:rPr>
        <w:tab/>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二、供货</w:t>
      </w:r>
    </w:p>
    <w:p>
      <w:pPr>
        <w:pStyle w:val="113"/>
        <w:spacing w:before="156" w:after="156" w:line="36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 本合同的交货时间以甲方具体通知时间为准,交货周期为XX天,乙方不得对甲方通知的交货日期提出异议或者以此要求调价、解除合同。</w:t>
      </w:r>
    </w:p>
    <w:p>
      <w:pPr>
        <w:pStyle w:val="113"/>
        <w:spacing w:before="156" w:after="156" w:line="360" w:lineRule="auto"/>
        <w:ind w:firstLine="240" w:firstLineChars="1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 交货地址：重庆轨道交通9号线二期站后工程施工总承包工程项目各站点（甲方指定地点）。</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三、付款</w:t>
      </w:r>
    </w:p>
    <w:p>
      <w:pPr>
        <w:spacing w:line="360" w:lineRule="auto"/>
        <w:ind w:firstLine="540" w:firstLineChars="225"/>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1、合同签订生效后，乙方提供合同金额10%的履约保函或合同金额10%的履约保证金和支付申请，甲方在30个工作日内支付合同价款10%预付款。</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每批次材料供应到达施工现场经甲方现场负责人验收合格并提供完整交验资料后，在每月20日前，乙方提供本月所供材料相关资料完成对账，乙方提供全额的13%增值税专用发票及付款申请后，甲方在30个工作日内按合同约定的单价结算支付本月批次货款的80%。</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3、工程通过竣工验收办理完结算后30个工作日支付至97%，剩余3%待质保期满无质量问题后结清。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4.如遇国家税率调整，按材料不含税单价乘以新税率重新计算单价，不含税单价保持不变。如遇国家其他税率政策变化，乙方按新的税收政策重新调整价格。</w:t>
      </w:r>
    </w:p>
    <w:p>
      <w:pPr>
        <w:spacing w:before="156" w:after="156" w:line="360" w:lineRule="auto"/>
        <w:outlineLvl w:val="9"/>
        <w:rPr>
          <w:rFonts w:hint="eastAsia" w:ascii="方正仿宋_GBK" w:hAnsi="方正仿宋_GBK" w:eastAsia="方正仿宋_GBK" w:cs="方正仿宋_GBK"/>
          <w:b/>
          <w:sz w:val="24"/>
          <w:szCs w:val="24"/>
        </w:rPr>
      </w:pPr>
      <w:bookmarkStart w:id="89" w:name="_Toc245193802"/>
      <w:bookmarkStart w:id="90" w:name="_Toc239225452"/>
      <w:r>
        <w:rPr>
          <w:rFonts w:hint="eastAsia" w:ascii="方正仿宋_GBK" w:hAnsi="方正仿宋_GBK" w:eastAsia="方正仿宋_GBK" w:cs="方正仿宋_GBK"/>
          <w:b/>
          <w:sz w:val="24"/>
          <w:szCs w:val="24"/>
        </w:rPr>
        <w:t>四、保证金/担保</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1.</w:t>
      </w:r>
      <w:r>
        <w:rPr>
          <w:rFonts w:hint="eastAsia" w:ascii="方正仿宋_GBK" w:hAnsi="方正仿宋_GBK" w:eastAsia="方正仿宋_GBK" w:cs="方正仿宋_GBK"/>
          <w:sz w:val="24"/>
          <w:szCs w:val="24"/>
        </w:rPr>
        <w:t>保证金</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乙方应根据下述时间、金额、方式和格式向甲方提供下列以甲方为受益人的担保。</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2.</w:t>
      </w:r>
      <w:r>
        <w:rPr>
          <w:rFonts w:hint="eastAsia" w:ascii="方正仿宋_GBK" w:hAnsi="方正仿宋_GBK" w:eastAsia="方正仿宋_GBK" w:cs="方正仿宋_GBK"/>
          <w:sz w:val="24"/>
          <w:szCs w:val="24"/>
        </w:rPr>
        <w:t>履约保证金</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2.1</w:t>
      </w:r>
      <w:r>
        <w:rPr>
          <w:rFonts w:hint="eastAsia" w:ascii="方正仿宋_GBK" w:hAnsi="方正仿宋_GBK" w:eastAsia="方正仿宋_GBK" w:cs="方正仿宋_GBK"/>
          <w:sz w:val="24"/>
          <w:szCs w:val="24"/>
        </w:rPr>
        <w:t>乙方应在合同签订之后15个工作日内提供履约保证金。履约担保金额为合同总价款的百分之十（10％），</w:t>
      </w:r>
      <w:r>
        <w:rPr>
          <w:rFonts w:hint="eastAsia" w:ascii="方正仿宋_GBK" w:hAnsi="方正仿宋_GBK" w:eastAsia="方正仿宋_GBK" w:cs="方正仿宋_GBK"/>
          <w:sz w:val="22"/>
          <w:szCs w:val="22"/>
        </w:rPr>
        <w:t>即人民币：</w:t>
      </w:r>
      <w:r>
        <w:rPr>
          <w:rFonts w:hint="eastAsia" w:ascii="方正仿宋_GBK" w:hAnsi="方正仿宋_GBK" w:eastAsia="方正仿宋_GBK" w:cs="方正仿宋_GBK"/>
          <w:sz w:val="22"/>
          <w:szCs w:val="22"/>
          <w:u w:val="single"/>
        </w:rPr>
        <w:t>XXX</w:t>
      </w:r>
      <w:r>
        <w:rPr>
          <w:rFonts w:hint="eastAsia" w:ascii="方正仿宋_GBK" w:hAnsi="方正仿宋_GBK" w:eastAsia="方正仿宋_GBK" w:cs="方正仿宋_GBK"/>
          <w:sz w:val="22"/>
          <w:szCs w:val="22"/>
        </w:rPr>
        <w:t>元；</w:t>
      </w:r>
      <w:r>
        <w:rPr>
          <w:rFonts w:hint="eastAsia" w:ascii="方正仿宋_GBK" w:hAnsi="方正仿宋_GBK" w:eastAsia="方正仿宋_GBK" w:cs="方正仿宋_GBK"/>
          <w:sz w:val="24"/>
          <w:szCs w:val="24"/>
        </w:rPr>
        <w:t>履约保证金形式为：银行履约保函或者履约保证金</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现金</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；货币币种为：人民币。</w:t>
      </w:r>
    </w:p>
    <w:p>
      <w:pPr>
        <w:pStyle w:val="117"/>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Cs/>
          <w:sz w:val="24"/>
          <w:szCs w:val="24"/>
        </w:rPr>
        <w:t>2.2</w:t>
      </w:r>
      <w:r>
        <w:rPr>
          <w:rFonts w:hint="eastAsia" w:ascii="方正仿宋_GBK" w:hAnsi="方正仿宋_GBK" w:eastAsia="方正仿宋_GBK" w:cs="方正仿宋_GBK"/>
          <w:sz w:val="24"/>
          <w:szCs w:val="24"/>
        </w:rPr>
        <w:t>工程通过竣工验收办理完结算后，甲方退还乙方交付的履约保函或履约保证金。</w:t>
      </w:r>
    </w:p>
    <w:p>
      <w:pPr>
        <w:adjustRightInd w:val="0"/>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2.3若业主签发建设工程竣工验收意见书之日晚于履约担保中的最晚期限，乙方应在履约担保到期之日三个月前无条件办理等额、见索即付的新的履约担保替换掉原履约担保，直至业主签发建设工程竣工验收意见书之日。若乙方新的履约担保未按上述约定时间提交，则用当期及后续应支付的进度款替代履约担保，直至应付进度款达到履约担保金额，待新的履约担保提交后再将此部分进度款无息支付给乙方。</w:t>
      </w:r>
      <w:bookmarkEnd w:id="89"/>
      <w:bookmarkEnd w:id="90"/>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五、技术要求</w:t>
      </w:r>
    </w:p>
    <w:p>
      <w:pPr>
        <w:bidi w:val="0"/>
        <w:rPr>
          <w:rFonts w:hint="eastAsia" w:ascii="方正仿宋_GBK" w:hAnsi="方正仿宋_GBK" w:eastAsia="方正仿宋_GBK" w:cs="方正仿宋_GBK"/>
        </w:rPr>
      </w:pPr>
      <w:r>
        <w:rPr>
          <w:rFonts w:hint="eastAsia" w:ascii="方正仿宋_GBK" w:hAnsi="方正仿宋_GBK" w:eastAsia="方正仿宋_GBK" w:cs="方正仿宋_GBK"/>
        </w:rPr>
        <w:t>(XXXXXXX)</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六、产品检验、产品交付</w:t>
      </w:r>
    </w:p>
    <w:p>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1.到场材料抽样验收比例《计数抽样检验程序》（GB/T2828.1）执行。</w:t>
      </w:r>
    </w:p>
    <w:p>
      <w:pPr>
        <w:snapToGrid w:val="0"/>
        <w:spacing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物资到场前，乙方提前一天通知甲方人员物资到场的具体时间，交货地址由甲方指定。产品交付时乙方须派专人负责现场送货、配合验货，提供满足合同、技术规格书、设计联络会相关要求的质量证明文件,要求乙方务必备齐各站相关物资检验资质证书，各项备检的资质证书应为复印件并加盖鲜章。如果物资到场计划临时取消或变更，应当立即通知甲方人员。</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3.检验前乙方应提前将物资按清单内容备齐待检，整个检验环节乙方技术人员必须到场配合验货，乙方各站备检的资质证书成册提供给甲方人员后方开始检验。检验</w:t>
      </w:r>
      <w:r>
        <w:rPr>
          <w:rFonts w:hint="eastAsia" w:ascii="方正仿宋_GBK" w:hAnsi="方正仿宋_GBK" w:eastAsia="方正仿宋_GBK" w:cs="方正仿宋_GBK"/>
          <w:b w:val="0"/>
          <w:bCs w:val="0"/>
          <w:color w:val="auto"/>
          <w:sz w:val="24"/>
          <w:szCs w:val="24"/>
        </w:rPr>
        <w:t>资料（包含但不限于）以</w:t>
      </w:r>
      <w:r>
        <w:rPr>
          <w:rFonts w:hint="eastAsia" w:ascii="方正仿宋_GBK" w:hAnsi="方正仿宋_GBK" w:eastAsia="方正仿宋_GBK" w:cs="方正仿宋_GBK"/>
          <w:sz w:val="24"/>
          <w:szCs w:val="24"/>
        </w:rPr>
        <w:t xml:space="preserve">下几类：出厂检验报告、第三方检测报告、测试卡、厂家资质、产品合格证、产品鉴定书、报关证、授权书、使用说明书和维保手册、3C认证、CQC认证等相关文件，具体根据产品特征提供。凡是资质证书不为中文，须另行提供中文版或翻译件并加盖鲜章。                                                                                          </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4.物资相关资质证书检查合格后，甲方人员对照物资外观进行检查，物资外观包装是否完整、外观是否完好、物资表面是否有锈蚀等。</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5.检验物资实体标注的信息与物资随箱资质证书内容必须一致，现场物资资质证书有缺失、资质证书注明日期不在有效期范围内或时间上有误等，不予验收。</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6.对照物资实体、随箱资质证书内容与合同技术规格书及变更正式书面资料等相关内容是否相符合。</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7.过程中发现不符合验收要求，甲方检验人员现场保留影像资料，检验中止，甲方拒收物资，待问题整改后乙方通知甲方人员再次检验。</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8.乙方进场材料须进行现场取样、封样，由甲方现场见证，样品成本、取样、封样成本由乙方承担。</w:t>
      </w:r>
    </w:p>
    <w:p>
      <w:pPr>
        <w:spacing w:line="360" w:lineRule="auto"/>
        <w:ind w:firstLine="480" w:firstLineChars="200"/>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9.因材料检验不合格产生的一切费用由乙方承担。</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七、质量保证</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1.乙方应保证所供设备及材料是全新的、未使用过的，并完全符合合同规定的质量、规格和性能要求。卖方应保证产品、材料在正常使用和正常保养的条件下，在其预计使用寿命期内均是有满意的性能。</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合同规定的质量保证期为自交货验收合格后计算24个月。在此责任期内，乙方对产品或产品任一部分的缺陷免费负责修复（包括更换相关产品）。乙方应当在接到保修通知之日起24小时内派人保修。乙方不在约定期限内派人保修的，甲方可以委托他人修理，费用由乙方承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若乙方配送到的货物不符合本合同要求或出现质量问题，甲方有权要求乙方及时进行无偿维修或无偿更换，具体履行方式以甲方书面通知为准。在质量保证期内，如发现产品质量方面存有缺陷，甲方有权要求乙方承担质量保证责任，具体履行方式以甲方书面通知为准。</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4.乙方在质量保证期内应做好定期回访工作，一季度进行一次回访工作。</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5.如果乙方未能在合理期限内对甲方通知的缺陷采取必要的补救工作，甲方可用合理的方式独自或委托第三方进行此项工作，所需的费用应由乙方负担。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r>
        <w:rPr>
          <w:rFonts w:hint="eastAsia" w:ascii="方正仿宋_GBK" w:hAnsi="方正仿宋_GBK" w:eastAsia="方正仿宋_GBK" w:cs="方正仿宋_GBK"/>
          <w:sz w:val="22"/>
          <w:szCs w:val="22"/>
        </w:rPr>
        <w:t xml:space="preserve"> 如设备发生质量问题，乙方无法举证非其原因造成，则由其负责相应损失，由甲方直接在其工程款中支付，如其款项不足以支付损失费用，甲方可向乙方索赔。</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八、保险</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1.在不限制甲、乙双方各自责任和义务的前提下，乙方应当对下列各事项进行保险：对产品、材料的生产、仓储和运输进行保险。</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2.本合同项下的保险费已经包括在合同价格内，甲方不再另行支付。</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九、违约与赔偿</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如乙方不能按合同约定的日期交货，乙方应按逾期之日起，每日向甲方支付合同总金额千分之一的违约金，违约金的最高限额为合同总金额的10%。乙方逾期供货超过20天，甲方有权解除合同，甲方无需支付任何费用。</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若乙方未按照本合同约定全面履行合同义务，甲方书面通知乙方限期履行后，乙方仍未全面履行合同义务的，则视为乙方违约，乙方应自甲方书面通知的限期届满之日起，每日向甲方支付合同总金额千分之一的违约金，违约金的最高限额为合同总金额的10%；超过违约金限额的，甲方可解除合同。</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3.在合同履行期间，若因乙方原因造成甲方损失的，乙方应赔偿甲方所受全部损失。</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十、不可抗力</w:t>
      </w:r>
    </w:p>
    <w:p>
      <w:pPr>
        <w:tabs>
          <w:tab w:val="left" w:pos="700"/>
        </w:tabs>
        <w:spacing w:before="156" w:after="156" w:line="360"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由于自然灾害及法律、法规规定的不可抗力事件，影响本合同履行时，经双方协商可延长合同履行的期限，但顺延时间不得超过事件所影响的时间。</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十一、争议解决</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1.因货物的质量问题发生争议的，应当邀请国家认可的质量检测机构对货物质量进行鉴定，如果鉴定结果合格，鉴定费用由甲方承担，鉴定费用不合格，鉴定费用由乙方承担。</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2.因履行本合同引起的或与本合同有关的争议，双方应首先通过友好协商解决，如果协商不能解决争议，向甲方所在地人民法院提请诉讼。</w:t>
      </w:r>
    </w:p>
    <w:p>
      <w:pPr>
        <w:spacing w:before="156" w:after="156" w:line="360" w:lineRule="auto"/>
        <w:outlineLvl w:val="9"/>
        <w:rPr>
          <w:rFonts w:hint="eastAsia"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十二、合同生效、变更与终止</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1.本合同经双方盖章后即生效。</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2.本合同条款的任何变更、修改或增减，须经双方协商同意后，授权代表签订书面文件作为本合同的组成部分并具有同等效力。</w:t>
      </w:r>
    </w:p>
    <w:p>
      <w:pPr>
        <w:spacing w:line="360" w:lineRule="auto"/>
        <w:ind w:firstLine="540" w:firstLineChars="225"/>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3.本合同在双方义务履行完毕后即终止。</w:t>
      </w:r>
    </w:p>
    <w:p>
      <w:pPr>
        <w:spacing w:line="360" w:lineRule="auto"/>
        <w:ind w:firstLine="540" w:firstLineChars="225"/>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sz w:val="24"/>
          <w:szCs w:val="24"/>
        </w:rPr>
        <w:t>4.本合同一式陆（6）份，甲方叁（3）份，乙方叁（3）份。</w:t>
      </w: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甲方</w:t>
      </w:r>
      <w:r>
        <w:rPr>
          <w:rFonts w:hint="eastAsia" w:ascii="方正仿宋_GBK" w:hAnsi="方正仿宋_GBK" w:eastAsia="方正仿宋_GBK" w:cs="方正仿宋_GBK"/>
          <w:sz w:val="24"/>
          <w:szCs w:val="24"/>
        </w:rPr>
        <w:t>：重庆机电控股集团机电工程技术有限公司（盖章）</w:t>
      </w:r>
    </w:p>
    <w:p>
      <w:pPr>
        <w:tabs>
          <w:tab w:val="left" w:pos="4962"/>
        </w:tabs>
        <w:spacing w:before="156" w:after="156" w:line="360" w:lineRule="auto"/>
        <w:ind w:left="6392" w:hanging="6392" w:hangingChars="2653"/>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地址：</w:t>
      </w:r>
      <w:r>
        <w:rPr>
          <w:rFonts w:hint="eastAsia" w:ascii="方正仿宋_GBK" w:hAnsi="方正仿宋_GBK" w:eastAsia="方正仿宋_GBK" w:cs="方正仿宋_GBK"/>
          <w:sz w:val="24"/>
          <w:szCs w:val="24"/>
        </w:rPr>
        <w:t>重庆市渝北区黄山大道中段60号机电大厦</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联系人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758"/>
        </w:tabs>
        <w:spacing w:before="156" w:after="156" w:line="360" w:lineRule="auto"/>
        <w:ind w:left="5783" w:hanging="5783" w:hangingChars="24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联系电话</w:t>
      </w:r>
      <w:r>
        <w:rPr>
          <w:rFonts w:hint="eastAsia" w:ascii="方正仿宋_GBK" w:hAnsi="方正仿宋_GBK" w:eastAsia="方正仿宋_GBK" w:cs="方正仿宋_GBK"/>
          <w:sz w:val="24"/>
          <w:szCs w:val="24"/>
        </w:rPr>
        <w:t>：023-63075885</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日期</w:t>
      </w:r>
      <w:r>
        <w:rPr>
          <w:rFonts w:hint="eastAsia" w:ascii="方正仿宋_GBK" w:hAnsi="方正仿宋_GBK" w:eastAsia="方正仿宋_GBK" w:cs="方正仿宋_GBK"/>
          <w:sz w:val="24"/>
          <w:szCs w:val="24"/>
        </w:rPr>
        <w:t>：    年    月    日</w:t>
      </w:r>
    </w:p>
    <w:p>
      <w:pPr>
        <w:tabs>
          <w:tab w:val="left" w:pos="6480"/>
        </w:tabs>
        <w:snapToGrid w:val="0"/>
        <w:spacing w:before="156" w:after="156" w:line="360" w:lineRule="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乙方</w:t>
      </w:r>
      <w:r>
        <w:rPr>
          <w:rFonts w:hint="eastAsia" w:ascii="方正仿宋_GBK" w:hAnsi="方正仿宋_GBK" w:eastAsia="方正仿宋_GBK" w:cs="方正仿宋_GBK"/>
          <w:sz w:val="24"/>
          <w:szCs w:val="24"/>
        </w:rPr>
        <w:t xml:space="preserve">： </w:t>
      </w:r>
    </w:p>
    <w:p>
      <w:pPr>
        <w:tabs>
          <w:tab w:val="left" w:pos="4962"/>
        </w:tabs>
        <w:spacing w:before="156" w:after="156" w:line="360" w:lineRule="auto"/>
        <w:ind w:left="6392" w:hanging="6392" w:hangingChars="2653"/>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地址：</w:t>
      </w:r>
    </w:p>
    <w:p>
      <w:pPr>
        <w:tabs>
          <w:tab w:val="left" w:pos="4962"/>
        </w:tabs>
        <w:spacing w:before="156" w:after="156" w:line="360" w:lineRule="auto"/>
        <w:ind w:left="6023" w:hanging="6023" w:hangingChars="2500"/>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开户行：</w:t>
      </w:r>
      <w:r>
        <w:rPr>
          <w:rFonts w:hint="eastAsia" w:ascii="方正仿宋_GBK" w:hAnsi="方正仿宋_GBK" w:eastAsia="方正仿宋_GBK" w:cs="方正仿宋_GBK"/>
          <w:sz w:val="24"/>
          <w:szCs w:val="24"/>
        </w:rPr>
        <w:t xml:space="preserve"> </w:t>
      </w:r>
    </w:p>
    <w:p>
      <w:pPr>
        <w:tabs>
          <w:tab w:val="left" w:pos="4962"/>
        </w:tabs>
        <w:spacing w:before="156" w:after="156" w:line="360" w:lineRule="auto"/>
        <w:ind w:left="6023" w:hanging="6023" w:hangingChars="25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 xml:space="preserve">账号： </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sz w:val="24"/>
          <w:szCs w:val="24"/>
        </w:rPr>
        <w:t>联系人</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758"/>
        </w:tabs>
        <w:spacing w:before="156" w:after="156" w:line="360" w:lineRule="auto"/>
        <w:ind w:left="5783" w:hanging="5783" w:hangingChars="2400"/>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
          <w:sz w:val="24"/>
          <w:szCs w:val="24"/>
        </w:rPr>
        <w:t>联系电话</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rPr>
        <w:tab/>
      </w:r>
    </w:p>
    <w:p>
      <w:pPr>
        <w:tabs>
          <w:tab w:val="left" w:pos="4962"/>
        </w:tabs>
        <w:spacing w:before="156" w:after="156" w:line="360" w:lineRule="auto"/>
        <w:rPr>
          <w:rFonts w:hint="eastAsia" w:ascii="方正仿宋_GBK" w:hAnsi="方正仿宋_GBK" w:eastAsia="方正仿宋_GBK" w:cs="方正仿宋_GBK"/>
          <w:color w:val="FF0000"/>
          <w:sz w:val="24"/>
          <w:szCs w:val="24"/>
        </w:rPr>
      </w:pPr>
      <w:r>
        <w:rPr>
          <w:rFonts w:hint="eastAsia" w:ascii="方正仿宋_GBK" w:hAnsi="方正仿宋_GBK" w:eastAsia="方正仿宋_GBK" w:cs="方正仿宋_GBK"/>
          <w:b/>
          <w:sz w:val="24"/>
          <w:szCs w:val="24"/>
        </w:rPr>
        <w:t>日期</w:t>
      </w:r>
      <w:r>
        <w:rPr>
          <w:rFonts w:hint="eastAsia" w:ascii="方正仿宋_GBK" w:hAnsi="方正仿宋_GBK" w:eastAsia="方正仿宋_GBK" w:cs="方正仿宋_GBK"/>
          <w:sz w:val="24"/>
          <w:szCs w:val="24"/>
        </w:rPr>
        <w:t>：    年    月    日</w:t>
      </w:r>
    </w:p>
    <w:p>
      <w:pPr>
        <w:spacing w:line="360" w:lineRule="auto"/>
        <w:ind w:firstLine="630" w:firstLineChars="225"/>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snapToGrid w:val="0"/>
        <w:spacing w:before="0" w:after="0" w:line="360" w:lineRule="auto"/>
        <w:jc w:val="left"/>
        <w:rPr>
          <w:rFonts w:hint="eastAsia" w:ascii="方正仿宋_GBK" w:hAnsi="方正仿宋_GBK" w:eastAsia="方正仿宋_GBK" w:cs="方正仿宋_GBK"/>
          <w:snapToGrid w:val="0"/>
          <w:color w:val="auto"/>
          <w:kern w:val="0"/>
          <w:sz w:val="28"/>
          <w:szCs w:val="28"/>
          <w:highlight w:val="none"/>
          <w:lang w:val="en-US" w:eastAsia="zh-CN"/>
        </w:rPr>
      </w:pPr>
      <w:bookmarkStart w:id="91" w:name="_Toc17129"/>
      <w:bookmarkStart w:id="92" w:name="_Toc11325"/>
      <w:r>
        <w:rPr>
          <w:rFonts w:hint="eastAsia" w:ascii="方正仿宋_GBK" w:hAnsi="方正仿宋_GBK" w:eastAsia="方正仿宋_GBK" w:cs="方正仿宋_GBK"/>
          <w:snapToGrid w:val="0"/>
          <w:color w:val="auto"/>
          <w:kern w:val="0"/>
          <w:sz w:val="28"/>
          <w:szCs w:val="28"/>
          <w:highlight w:val="none"/>
        </w:rPr>
        <w:t>附件一：</w:t>
      </w:r>
      <w:r>
        <w:rPr>
          <w:rFonts w:hint="eastAsia" w:ascii="方正仿宋_GBK" w:hAnsi="方正仿宋_GBK" w:eastAsia="方正仿宋_GBK" w:cs="方正仿宋_GBK"/>
          <w:snapToGrid w:val="0"/>
          <w:color w:val="auto"/>
          <w:kern w:val="0"/>
          <w:sz w:val="28"/>
          <w:szCs w:val="28"/>
          <w:highlight w:val="none"/>
          <w:lang w:val="en-US" w:eastAsia="zh-CN"/>
        </w:rPr>
        <w:t>封面</w:t>
      </w:r>
      <w:bookmarkEnd w:id="91"/>
    </w:p>
    <w:p>
      <w:pPr>
        <w:spacing w:line="720" w:lineRule="auto"/>
        <w:jc w:val="center"/>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color w:val="auto"/>
          <w:sz w:val="40"/>
          <w:szCs w:val="40"/>
          <w:highlight w:val="none"/>
          <w:lang w:eastAsia="zh-CN"/>
        </w:rPr>
        <w:t>重庆轨道交通</w:t>
      </w:r>
      <w:r>
        <w:rPr>
          <w:rFonts w:hint="eastAsia" w:ascii="方正仿宋_GBK" w:hAnsi="方正仿宋_GBK" w:eastAsia="方正仿宋_GBK" w:cs="方正仿宋_GBK"/>
          <w:b/>
          <w:bCs/>
          <w:color w:val="auto"/>
          <w:sz w:val="40"/>
          <w:szCs w:val="40"/>
          <w:highlight w:val="none"/>
          <w:lang w:val="en-US" w:eastAsia="zh-CN"/>
        </w:rPr>
        <w:t>9</w:t>
      </w:r>
      <w:r>
        <w:rPr>
          <w:rFonts w:hint="eastAsia" w:ascii="方正仿宋_GBK" w:hAnsi="方正仿宋_GBK" w:eastAsia="方正仿宋_GBK" w:cs="方正仿宋_GBK"/>
          <w:b/>
          <w:bCs/>
          <w:color w:val="auto"/>
          <w:sz w:val="40"/>
          <w:szCs w:val="40"/>
          <w:highlight w:val="none"/>
          <w:lang w:eastAsia="zh-CN"/>
        </w:rPr>
        <w:t>号线二期工程（兴科大道～花石沟）</w:t>
      </w:r>
      <w:r>
        <w:rPr>
          <w:rFonts w:hint="eastAsia" w:ascii="方正仿宋_GBK" w:hAnsi="方正仿宋_GBK" w:eastAsia="方正仿宋_GBK" w:cs="方正仿宋_GBK"/>
          <w:b/>
          <w:bCs/>
          <w:color w:val="auto"/>
          <w:sz w:val="40"/>
          <w:szCs w:val="40"/>
          <w:highlight w:val="none"/>
        </w:rPr>
        <w:t>风水电系统</w:t>
      </w:r>
      <w:r>
        <w:rPr>
          <w:rFonts w:hint="eastAsia" w:ascii="方正仿宋_GBK" w:hAnsi="方正仿宋_GBK" w:eastAsia="方正仿宋_GBK" w:cs="方正仿宋_GBK"/>
          <w:b/>
          <w:bCs/>
          <w:color w:val="000000"/>
          <w:sz w:val="40"/>
          <w:szCs w:val="40"/>
          <w:highlight w:val="none"/>
          <w:lang w:val="en-US" w:eastAsia="zh-CN"/>
        </w:rPr>
        <w:t>双面彩钢复合风管</w:t>
      </w: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rPr>
          <w:rFonts w:hint="eastAsia" w:ascii="方正仿宋_GBK" w:hAnsi="方正仿宋_GBK" w:eastAsia="方正仿宋_GBK" w:cs="方正仿宋_GBK"/>
          <w:lang w:eastAsia="zh-CN"/>
        </w:rPr>
      </w:pPr>
    </w:p>
    <w:p>
      <w:pPr>
        <w:jc w:val="center"/>
        <w:rPr>
          <w:rFonts w:hint="eastAsia" w:ascii="方正仿宋_GBK" w:hAnsi="方正仿宋_GBK" w:eastAsia="方正仿宋_GBK" w:cs="方正仿宋_GBK"/>
          <w:color w:val="auto"/>
          <w:sz w:val="56"/>
          <w:szCs w:val="56"/>
          <w:highlight w:val="none"/>
          <w:lang w:val="en-US" w:eastAsia="zh-CN"/>
        </w:rPr>
      </w:pPr>
      <w:r>
        <w:rPr>
          <w:rFonts w:hint="eastAsia" w:ascii="方正仿宋_GBK" w:hAnsi="方正仿宋_GBK" w:eastAsia="方正仿宋_GBK" w:cs="方正仿宋_GBK"/>
          <w:color w:val="auto"/>
          <w:sz w:val="56"/>
          <w:szCs w:val="56"/>
          <w:highlight w:val="none"/>
          <w:lang w:val="en-US" w:eastAsia="zh-CN"/>
        </w:rPr>
        <w:t>参  选  文  件</w:t>
      </w: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rPr>
          <w:rFonts w:hint="eastAsia" w:ascii="方正仿宋_GBK" w:hAnsi="方正仿宋_GBK" w:eastAsia="方正仿宋_GBK" w:cs="方正仿宋_GBK"/>
          <w:color w:val="auto"/>
          <w:sz w:val="28"/>
          <w:szCs w:val="28"/>
          <w:highlight w:val="none"/>
          <w:lang w:val="en-US" w:eastAsia="zh-CN"/>
        </w:rPr>
      </w:pP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r>
        <w:rPr>
          <w:rFonts w:hint="eastAsia" w:ascii="方正仿宋_GBK" w:hAnsi="方正仿宋_GBK" w:eastAsia="方正仿宋_GBK" w:cs="方正仿宋_GBK"/>
          <w:color w:val="auto"/>
          <w:sz w:val="36"/>
          <w:szCs w:val="36"/>
          <w:highlight w:val="none"/>
          <w:lang w:val="en-US" w:eastAsia="zh-CN"/>
        </w:rPr>
        <w:t>参选人：</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none"/>
          <w:lang w:val="en-US" w:eastAsia="zh-CN"/>
        </w:rPr>
        <w:t xml:space="preserve">（盖章） </w:t>
      </w:r>
      <w:r>
        <w:rPr>
          <w:rFonts w:hint="eastAsia" w:ascii="方正仿宋_GBK" w:hAnsi="方正仿宋_GBK" w:eastAsia="方正仿宋_GBK" w:cs="方正仿宋_GBK"/>
          <w:color w:val="auto"/>
          <w:sz w:val="36"/>
          <w:szCs w:val="36"/>
          <w:highlight w:val="none"/>
          <w:u w:val="singl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none"/>
          <w:lang w:val="en-US" w:eastAsia="zh-CN"/>
        </w:rPr>
      </w:pPr>
      <w:r>
        <w:rPr>
          <w:rFonts w:hint="eastAsia" w:ascii="方正仿宋_GBK" w:hAnsi="方正仿宋_GBK" w:eastAsia="方正仿宋_GBK" w:cs="方正仿宋_GBK"/>
          <w:color w:val="auto"/>
          <w:sz w:val="36"/>
          <w:szCs w:val="36"/>
          <w:highlight w:val="none"/>
        </w:rPr>
        <w:t>法定代表人或</w:t>
      </w:r>
      <w:r>
        <w:rPr>
          <w:rFonts w:hint="eastAsia" w:ascii="方正仿宋_GBK" w:hAnsi="方正仿宋_GBK" w:eastAsia="方正仿宋_GBK" w:cs="方正仿宋_GBK"/>
          <w:color w:val="auto"/>
          <w:sz w:val="36"/>
          <w:szCs w:val="36"/>
          <w:highlight w:val="none"/>
          <w:lang w:val="en-US" w:eastAsia="zh-CN"/>
        </w:rPr>
        <w:t>委托</w:t>
      </w:r>
      <w:r>
        <w:rPr>
          <w:rFonts w:hint="eastAsia" w:ascii="方正仿宋_GBK" w:hAnsi="方正仿宋_GBK" w:eastAsia="方正仿宋_GBK" w:cs="方正仿宋_GBK"/>
          <w:color w:val="auto"/>
          <w:sz w:val="36"/>
          <w:szCs w:val="36"/>
          <w:highlight w:val="none"/>
        </w:rPr>
        <w:t>代理人：</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none"/>
          <w:lang w:val="en-US" w:eastAsia="zh-CN"/>
        </w:rPr>
        <w:t xml:space="preserve">（签字）  </w:t>
      </w:r>
    </w:p>
    <w:p>
      <w:pPr>
        <w:spacing w:line="600" w:lineRule="auto"/>
        <w:ind w:firstLine="1440" w:firstLineChars="400"/>
        <w:rPr>
          <w:rFonts w:hint="eastAsia" w:ascii="方正仿宋_GBK" w:hAnsi="方正仿宋_GBK" w:eastAsia="方正仿宋_GBK" w:cs="方正仿宋_GBK"/>
          <w:color w:val="auto"/>
          <w:sz w:val="36"/>
          <w:szCs w:val="36"/>
          <w:highlight w:val="none"/>
          <w:lang w:val="en-US" w:eastAsia="zh-CN"/>
        </w:rPr>
      </w:pPr>
      <w:r>
        <w:rPr>
          <w:rFonts w:hint="eastAsia" w:ascii="方正仿宋_GBK" w:hAnsi="方正仿宋_GBK" w:eastAsia="方正仿宋_GBK" w:cs="方正仿宋_GBK"/>
          <w:color w:val="auto"/>
          <w:sz w:val="36"/>
          <w:szCs w:val="36"/>
          <w:highlight w:val="none"/>
          <w:lang w:val="en-US" w:eastAsia="zh-CN"/>
        </w:rPr>
        <w:t>联系方式：</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u w:val="singl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r>
        <w:rPr>
          <w:rFonts w:hint="eastAsia" w:ascii="方正仿宋_GBK" w:hAnsi="方正仿宋_GBK" w:eastAsia="方正仿宋_GBK" w:cs="方正仿宋_GBK"/>
          <w:color w:val="auto"/>
          <w:sz w:val="36"/>
          <w:szCs w:val="36"/>
          <w:highlight w:val="none"/>
          <w:u w:val="single"/>
          <w:lang w:val="en-US" w:eastAsia="zh-CN"/>
        </w:rPr>
        <w:t xml:space="preserve">     </w:t>
      </w:r>
      <w:r>
        <w:rPr>
          <w:rFonts w:hint="eastAsia" w:ascii="方正仿宋_GBK" w:hAnsi="方正仿宋_GBK" w:eastAsia="方正仿宋_GBK" w:cs="方正仿宋_GBK"/>
          <w:color w:val="auto"/>
          <w:sz w:val="36"/>
          <w:szCs w:val="36"/>
          <w:highlight w:val="non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r>
        <w:rPr>
          <w:rFonts w:hint="eastAsia" w:ascii="方正仿宋_GBK" w:hAnsi="方正仿宋_GBK" w:eastAsia="方正仿宋_GBK" w:cs="方正仿宋_GBK"/>
          <w:color w:val="auto"/>
          <w:sz w:val="36"/>
          <w:szCs w:val="36"/>
          <w:highlight w:val="none"/>
          <w:lang w:val="en-US" w:eastAsia="zh-CN"/>
        </w:rPr>
        <w:t>日    期：</w:t>
      </w:r>
      <w:r>
        <w:rPr>
          <w:rFonts w:hint="eastAsia" w:ascii="方正仿宋_GBK" w:hAnsi="方正仿宋_GBK" w:eastAsia="方正仿宋_GBK" w:cs="方正仿宋_GBK"/>
          <w:color w:val="auto"/>
          <w:sz w:val="36"/>
          <w:szCs w:val="36"/>
          <w:highlight w:val="none"/>
          <w:u w:val="single"/>
          <w:lang w:val="en-US" w:eastAsia="zh-CN"/>
        </w:rPr>
        <w:t xml:space="preserve">              </w:t>
      </w: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p>
    <w:p>
      <w:pPr>
        <w:spacing w:line="600" w:lineRule="auto"/>
        <w:ind w:firstLine="1440" w:firstLineChars="400"/>
        <w:rPr>
          <w:rFonts w:hint="eastAsia" w:ascii="方正仿宋_GBK" w:hAnsi="方正仿宋_GBK" w:eastAsia="方正仿宋_GBK" w:cs="方正仿宋_GBK"/>
          <w:color w:val="auto"/>
          <w:sz w:val="36"/>
          <w:szCs w:val="36"/>
          <w:highlight w:val="none"/>
          <w:u w:val="single"/>
          <w:lang w:val="en-US" w:eastAsia="zh-CN"/>
        </w:rPr>
      </w:pPr>
    </w:p>
    <w:p>
      <w:pPr>
        <w:rPr>
          <w:rFonts w:hint="eastAsia" w:ascii="方正仿宋_GBK" w:hAnsi="方正仿宋_GBK" w:eastAsia="方正仿宋_GBK" w:cs="方正仿宋_GBK"/>
          <w:b/>
          <w:bCs/>
          <w:color w:val="auto"/>
          <w:sz w:val="36"/>
          <w:szCs w:val="36"/>
          <w:highlight w:val="none"/>
          <w:lang w:val="en-US" w:eastAsia="zh-CN"/>
        </w:rPr>
      </w:pPr>
      <w:r>
        <w:rPr>
          <w:rFonts w:hint="eastAsia" w:ascii="方正仿宋_GBK" w:hAnsi="方正仿宋_GBK" w:eastAsia="方正仿宋_GBK" w:cs="方正仿宋_GBK"/>
          <w:b/>
          <w:bCs/>
          <w:color w:val="auto"/>
          <w:sz w:val="36"/>
          <w:szCs w:val="36"/>
          <w:highlight w:val="none"/>
          <w:lang w:val="en-US" w:eastAsia="zh-CN"/>
        </w:rPr>
        <w:br w:type="page"/>
      </w:r>
    </w:p>
    <w:p>
      <w:pPr>
        <w:tabs>
          <w:tab w:val="left" w:pos="5216"/>
        </w:tabs>
        <w:spacing w:line="600" w:lineRule="auto"/>
        <w:jc w:val="both"/>
        <w:outlineLvl w:val="0"/>
        <w:rPr>
          <w:rFonts w:hint="eastAsia" w:ascii="方正仿宋_GBK" w:hAnsi="方正仿宋_GBK" w:eastAsia="方正仿宋_GBK" w:cs="方正仿宋_GBK"/>
          <w:b/>
          <w:bCs/>
          <w:color w:val="auto"/>
          <w:sz w:val="36"/>
          <w:szCs w:val="36"/>
          <w:highlight w:val="none"/>
          <w:lang w:val="en-US" w:eastAsia="zh-CN"/>
        </w:rPr>
      </w:pPr>
      <w:r>
        <w:rPr>
          <w:rFonts w:hint="eastAsia" w:ascii="方正仿宋_GBK" w:hAnsi="方正仿宋_GBK" w:eastAsia="方正仿宋_GBK" w:cs="方正仿宋_GBK"/>
          <w:b/>
          <w:bCs/>
          <w:snapToGrid w:val="0"/>
          <w:color w:val="auto"/>
          <w:kern w:val="0"/>
          <w:sz w:val="28"/>
          <w:szCs w:val="28"/>
          <w:highlight w:val="none"/>
          <w:lang w:val="en-US" w:eastAsia="zh-CN" w:bidi="ar-SA"/>
        </w:rPr>
        <w:t>附件二：参选函</w:t>
      </w:r>
      <w:bookmarkEnd w:id="87"/>
      <w:bookmarkEnd w:id="88"/>
      <w:bookmarkEnd w:id="92"/>
      <w:r>
        <w:rPr>
          <w:rFonts w:hint="eastAsia" w:ascii="方正仿宋_GBK" w:hAnsi="方正仿宋_GBK" w:eastAsia="方正仿宋_GBK" w:cs="方正仿宋_GBK"/>
          <w:b/>
          <w:bCs/>
          <w:color w:val="auto"/>
          <w:sz w:val="36"/>
          <w:szCs w:val="36"/>
          <w:highlight w:val="none"/>
          <w:lang w:val="en-US" w:eastAsia="zh-CN"/>
        </w:rPr>
        <w:tab/>
      </w:r>
    </w:p>
    <w:p>
      <w:pPr>
        <w:spacing w:line="360" w:lineRule="auto"/>
        <w:jc w:val="center"/>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参选函</w:t>
      </w:r>
    </w:p>
    <w:p>
      <w:pPr>
        <w:spacing w:line="360" w:lineRule="auto"/>
        <w:ind w:firstLine="560" w:firstLineChars="200"/>
        <w:rPr>
          <w:rFonts w:hint="eastAsia" w:ascii="方正仿宋_GBK" w:hAnsi="方正仿宋_GBK" w:eastAsia="方正仿宋_GBK" w:cs="方正仿宋_GBK"/>
          <w:color w:val="auto"/>
          <w:sz w:val="28"/>
          <w:szCs w:val="28"/>
          <w:highlight w:val="none"/>
          <w:u w:val="single"/>
        </w:rPr>
      </w:pPr>
    </w:p>
    <w:p>
      <w:pPr>
        <w:spacing w:line="360" w:lineRule="auto"/>
        <w:rPr>
          <w:rFonts w:hint="eastAsia" w:ascii="方正仿宋_GBK" w:hAnsi="方正仿宋_GBK" w:eastAsia="方正仿宋_GBK" w:cs="方正仿宋_GBK"/>
          <w:color w:val="auto"/>
          <w:sz w:val="28"/>
          <w:szCs w:val="28"/>
          <w:highlight w:val="none"/>
          <w:u w:val="single"/>
        </w:rPr>
      </w:pPr>
      <w:r>
        <w:rPr>
          <w:rFonts w:hint="eastAsia" w:ascii="方正仿宋_GBK" w:hAnsi="方正仿宋_GBK" w:eastAsia="方正仿宋_GBK" w:cs="方正仿宋_GBK"/>
          <w:color w:val="auto"/>
          <w:sz w:val="28"/>
          <w:szCs w:val="28"/>
          <w:highlight w:val="none"/>
          <w:u w:val="single"/>
        </w:rPr>
        <w:t>重庆机电控股集团机电工程技术有限公司：</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（一）根据已获取的重庆机电控股集团机电工程技术有限公司</w:t>
      </w:r>
      <w:r>
        <w:rPr>
          <w:rFonts w:hint="eastAsia" w:ascii="方正仿宋_GBK" w:hAnsi="方正仿宋_GBK" w:eastAsia="方正仿宋_GBK" w:cs="方正仿宋_GBK"/>
          <w:color w:val="auto"/>
          <w:sz w:val="28"/>
          <w:szCs w:val="28"/>
          <w:highlight w:val="none"/>
          <w:lang w:val="en-US" w:eastAsia="zh-CN"/>
        </w:rPr>
        <w:t>关于</w:t>
      </w:r>
      <w:r>
        <w:rPr>
          <w:rFonts w:hint="eastAsia" w:ascii="方正仿宋_GBK" w:hAnsi="方正仿宋_GBK" w:eastAsia="方正仿宋_GBK" w:cs="方正仿宋_GBK"/>
          <w:color w:val="auto"/>
          <w:sz w:val="28"/>
          <w:szCs w:val="28"/>
          <w:highlight w:val="none"/>
        </w:rPr>
        <w:t>重庆轨道交通</w:t>
      </w:r>
      <w:r>
        <w:rPr>
          <w:rFonts w:hint="eastAsia" w:ascii="方正仿宋_GBK" w:hAnsi="方正仿宋_GBK"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号线二期工程（兴科大道～花石沟）风水电系统</w:t>
      </w:r>
      <w:r>
        <w:rPr>
          <w:rFonts w:hint="eastAsia" w:ascii="方正仿宋_GBK" w:hAnsi="方正仿宋_GBK" w:eastAsia="方正仿宋_GBK" w:cs="方正仿宋_GBK"/>
          <w:color w:val="auto"/>
          <w:sz w:val="28"/>
          <w:szCs w:val="28"/>
          <w:highlight w:val="none"/>
          <w:lang w:val="en-US" w:eastAsia="zh-CN"/>
        </w:rPr>
        <w:t>双面彩钢复合风管</w:t>
      </w:r>
      <w:r>
        <w:rPr>
          <w:rFonts w:hint="eastAsia" w:ascii="方正仿宋_GBK" w:hAnsi="方正仿宋_GBK" w:eastAsia="方正仿宋_GBK" w:cs="方正仿宋_GBK"/>
          <w:color w:val="auto"/>
          <w:sz w:val="28"/>
          <w:szCs w:val="28"/>
          <w:highlight w:val="none"/>
        </w:rPr>
        <w:t>采购及伴随服务比选文件，按照有关规定，我单位经研究</w:t>
      </w:r>
      <w:r>
        <w:rPr>
          <w:rFonts w:hint="eastAsia" w:ascii="方正仿宋_GBK" w:hAnsi="方正仿宋_GBK" w:eastAsia="方正仿宋_GBK" w:cs="方正仿宋_GBK"/>
          <w:color w:val="auto"/>
          <w:sz w:val="28"/>
          <w:szCs w:val="28"/>
          <w:highlight w:val="none"/>
          <w:lang w:val="en-US" w:eastAsia="zh-CN"/>
        </w:rPr>
        <w:t>及深刻理解</w:t>
      </w:r>
      <w:r>
        <w:rPr>
          <w:rFonts w:hint="eastAsia" w:ascii="方正仿宋_GBK" w:hAnsi="方正仿宋_GBK" w:eastAsia="方正仿宋_GBK" w:cs="方正仿宋_GBK"/>
          <w:color w:val="auto"/>
          <w:sz w:val="28"/>
          <w:szCs w:val="28"/>
          <w:highlight w:val="none"/>
        </w:rPr>
        <w:t>比选文件后，愿以人民币（大写）</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rPr>
        <w:t>的</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总价，</w:t>
      </w:r>
      <w:r>
        <w:rPr>
          <w:rFonts w:hint="eastAsia" w:ascii="方正仿宋_GBK" w:hAnsi="方正仿宋_GBK" w:eastAsia="方正仿宋_GBK" w:cs="方正仿宋_GBK"/>
          <w:color w:val="auto"/>
          <w:sz w:val="28"/>
          <w:szCs w:val="28"/>
          <w:highlight w:val="none"/>
          <w:lang w:val="en-US" w:eastAsia="zh-CN"/>
        </w:rPr>
        <w:t>其中不含税总金额为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val="en-US" w:eastAsia="zh-CN"/>
        </w:rPr>
        <w:t xml:space="preserve"> </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none"/>
          <w:lang w:val="en-US" w:eastAsia="zh-CN"/>
        </w:rPr>
        <w:t>税金为</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u w:val="single"/>
          <w:lang w:val="en-US" w:eastAsia="zh-CN"/>
        </w:rPr>
        <w:t xml:space="preserve">       元</w:t>
      </w:r>
      <w:r>
        <w:rPr>
          <w:rFonts w:hint="eastAsia" w:ascii="方正仿宋_GBK" w:hAnsi="方正仿宋_GBK" w:eastAsia="方正仿宋_GBK" w:cs="方正仿宋_GBK"/>
          <w:color w:val="auto"/>
          <w:sz w:val="28"/>
          <w:szCs w:val="28"/>
          <w:highlight w:val="none"/>
          <w:u w:val="none"/>
          <w:lang w:eastAsia="zh-CN"/>
        </w:rPr>
        <w:t>）</w:t>
      </w:r>
      <w:r>
        <w:rPr>
          <w:rFonts w:hint="eastAsia" w:ascii="方正仿宋_GBK" w:hAnsi="方正仿宋_GBK" w:eastAsia="方正仿宋_GBK" w:cs="方正仿宋_GBK"/>
          <w:color w:val="auto"/>
          <w:sz w:val="28"/>
          <w:szCs w:val="28"/>
          <w:highlight w:val="none"/>
        </w:rPr>
        <w:t>，按比选文件的要求提供本次比选范围内的材料</w:t>
      </w:r>
      <w:r>
        <w:rPr>
          <w:rFonts w:hint="eastAsia" w:ascii="方正仿宋_GBK" w:hAnsi="方正仿宋_GBK" w:eastAsia="方正仿宋_GBK" w:cs="方正仿宋_GBK"/>
          <w:color w:val="auto"/>
          <w:sz w:val="28"/>
          <w:szCs w:val="28"/>
          <w:highlight w:val="none"/>
          <w:lang w:val="en-US" w:eastAsia="zh-CN"/>
        </w:rPr>
        <w:t>及设备</w:t>
      </w:r>
      <w:r>
        <w:rPr>
          <w:rFonts w:hint="eastAsia" w:ascii="方正仿宋_GBK" w:hAnsi="方正仿宋_GBK" w:eastAsia="方正仿宋_GBK" w:cs="方正仿宋_GBK"/>
          <w:color w:val="auto"/>
          <w:sz w:val="28"/>
          <w:szCs w:val="28"/>
          <w:highlight w:val="none"/>
        </w:rPr>
        <w:t>。</w:t>
      </w:r>
    </w:p>
    <w:p>
      <w:pPr>
        <w:spacing w:line="360" w:lineRule="auto"/>
        <w:ind w:firstLine="560" w:firstLineChars="20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（二）我单位保证所提供材料</w:t>
      </w:r>
      <w:r>
        <w:rPr>
          <w:rFonts w:hint="eastAsia" w:ascii="方正仿宋_GBK" w:hAnsi="方正仿宋_GBK" w:eastAsia="方正仿宋_GBK" w:cs="方正仿宋_GBK"/>
          <w:color w:val="auto"/>
          <w:sz w:val="28"/>
          <w:szCs w:val="28"/>
          <w:highlight w:val="none"/>
          <w:lang w:val="en-US" w:eastAsia="zh-CN"/>
        </w:rPr>
        <w:t>及设备</w:t>
      </w:r>
      <w:r>
        <w:rPr>
          <w:rFonts w:hint="eastAsia" w:ascii="方正仿宋_GBK" w:hAnsi="方正仿宋_GBK" w:eastAsia="方正仿宋_GBK" w:cs="方正仿宋_GBK"/>
          <w:color w:val="auto"/>
          <w:sz w:val="28"/>
          <w:szCs w:val="28"/>
          <w:highlight w:val="none"/>
        </w:rPr>
        <w:t>的质量达到标准。</w:t>
      </w:r>
    </w:p>
    <w:p>
      <w:pPr>
        <w:pStyle w:val="13"/>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（三）贵单位的比选文件、参选文件将构成约束我们双方的合同。</w:t>
      </w:r>
    </w:p>
    <w:p>
      <w:pPr>
        <w:pStyle w:val="13"/>
        <w:ind w:firstLine="56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pStyle w:val="3"/>
        <w:snapToGrid w:val="0"/>
        <w:spacing w:before="0" w:after="0"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snapToGrid w:val="0"/>
          <w:color w:val="auto"/>
          <w:kern w:val="0"/>
          <w:sz w:val="28"/>
          <w:szCs w:val="28"/>
          <w:highlight w:val="none"/>
        </w:rPr>
        <w:br w:type="page"/>
      </w:r>
      <w:bookmarkStart w:id="93" w:name="_Toc18238"/>
      <w:bookmarkStart w:id="94" w:name="_Toc27647"/>
      <w:bookmarkStart w:id="95" w:name="_Toc5702"/>
      <w:bookmarkStart w:id="96" w:name="_Toc15495"/>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三</w:t>
      </w:r>
      <w:r>
        <w:rPr>
          <w:rFonts w:hint="eastAsia" w:ascii="方正仿宋_GBK" w:hAnsi="方正仿宋_GBK" w:eastAsia="方正仿宋_GBK" w:cs="方正仿宋_GBK"/>
          <w:snapToGrid w:val="0"/>
          <w:color w:val="auto"/>
          <w:kern w:val="0"/>
          <w:sz w:val="28"/>
          <w:szCs w:val="28"/>
          <w:highlight w:val="none"/>
        </w:rPr>
        <w:t>：</w:t>
      </w:r>
      <w:r>
        <w:rPr>
          <w:rFonts w:hint="eastAsia" w:ascii="方正仿宋_GBK" w:hAnsi="方正仿宋_GBK" w:eastAsia="方正仿宋_GBK" w:cs="方正仿宋_GBK"/>
          <w:snapToGrid w:val="0"/>
          <w:color w:val="auto"/>
          <w:kern w:val="0"/>
          <w:sz w:val="28"/>
          <w:szCs w:val="28"/>
          <w:highlight w:val="none"/>
          <w:lang w:eastAsia="zh-CN"/>
        </w:rPr>
        <w:t>参选人</w:t>
      </w:r>
      <w:r>
        <w:rPr>
          <w:rFonts w:hint="eastAsia" w:ascii="方正仿宋_GBK" w:hAnsi="方正仿宋_GBK" w:eastAsia="方正仿宋_GBK" w:cs="方正仿宋_GBK"/>
          <w:snapToGrid w:val="0"/>
          <w:color w:val="auto"/>
          <w:kern w:val="0"/>
          <w:sz w:val="28"/>
          <w:szCs w:val="28"/>
          <w:highlight w:val="none"/>
        </w:rPr>
        <w:t>报价表</w:t>
      </w:r>
      <w:bookmarkEnd w:id="93"/>
      <w:bookmarkEnd w:id="94"/>
      <w:bookmarkEnd w:id="95"/>
      <w:bookmarkEnd w:id="96"/>
    </w:p>
    <w:p>
      <w:pPr>
        <w:adjustRightInd w:val="0"/>
        <w:snapToGrid w:val="0"/>
        <w:spacing w:line="360" w:lineRule="auto"/>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 xml:space="preserve">  </w:t>
      </w:r>
      <w:r>
        <w:rPr>
          <w:rFonts w:hint="eastAsia" w:ascii="方正仿宋_GBK" w:hAnsi="方正仿宋_GBK" w:eastAsia="方正仿宋_GBK" w:cs="方正仿宋_GBK"/>
          <w:b/>
          <w:color w:val="auto"/>
          <w:sz w:val="28"/>
          <w:szCs w:val="28"/>
          <w:highlight w:val="none"/>
          <w:lang w:eastAsia="zh-CN"/>
        </w:rPr>
        <w:t>参选人</w:t>
      </w:r>
      <w:r>
        <w:rPr>
          <w:rFonts w:hint="eastAsia" w:ascii="方正仿宋_GBK" w:hAnsi="方正仿宋_GBK" w:eastAsia="方正仿宋_GBK" w:cs="方正仿宋_GBK"/>
          <w:b/>
          <w:color w:val="auto"/>
          <w:sz w:val="28"/>
          <w:szCs w:val="28"/>
          <w:highlight w:val="none"/>
        </w:rPr>
        <w:t xml:space="preserve">报价表  </w:t>
      </w:r>
    </w:p>
    <w:p>
      <w:pPr>
        <w:adjustRightInd w:val="0"/>
        <w:snapToGrid w:val="0"/>
        <w:spacing w:line="360" w:lineRule="auto"/>
        <w:ind w:left="-105" w:leftChars="-50"/>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项目名称：                                         </w:t>
      </w:r>
    </w:p>
    <w:tbl>
      <w:tblPr>
        <w:tblStyle w:val="25"/>
        <w:tblpPr w:leftFromText="180" w:rightFromText="180" w:vertAnchor="text" w:horzAnchor="margin" w:tblpY="57"/>
        <w:tblW w:w="9183" w:type="dxa"/>
        <w:tblInd w:w="0" w:type="dxa"/>
        <w:tblLayout w:type="fixed"/>
        <w:tblCellMar>
          <w:top w:w="0" w:type="dxa"/>
          <w:left w:w="108" w:type="dxa"/>
          <w:bottom w:w="0" w:type="dxa"/>
          <w:right w:w="108" w:type="dxa"/>
        </w:tblCellMar>
      </w:tblPr>
      <w:tblGrid>
        <w:gridCol w:w="852"/>
        <w:gridCol w:w="368"/>
        <w:gridCol w:w="452"/>
        <w:gridCol w:w="1269"/>
        <w:gridCol w:w="797"/>
        <w:gridCol w:w="973"/>
        <w:gridCol w:w="945"/>
        <w:gridCol w:w="1323"/>
        <w:gridCol w:w="1071"/>
        <w:gridCol w:w="1133"/>
      </w:tblGrid>
      <w:tr>
        <w:tblPrEx>
          <w:tblCellMar>
            <w:top w:w="0" w:type="dxa"/>
            <w:left w:w="108" w:type="dxa"/>
            <w:bottom w:w="0" w:type="dxa"/>
            <w:right w:w="108" w:type="dxa"/>
          </w:tblCellMar>
        </w:tblPrEx>
        <w:trPr>
          <w:trHeight w:val="639" w:hRule="atLeast"/>
        </w:trPr>
        <w:tc>
          <w:tcPr>
            <w:tcW w:w="8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序号</w:t>
            </w:r>
          </w:p>
        </w:tc>
        <w:tc>
          <w:tcPr>
            <w:tcW w:w="820"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lang w:val="en-US" w:eastAsia="zh-CN"/>
              </w:rPr>
            </w:pPr>
            <w:r>
              <w:rPr>
                <w:rFonts w:hint="eastAsia" w:ascii="方正仿宋_GBK" w:hAnsi="方正仿宋_GBK" w:eastAsia="方正仿宋_GBK" w:cs="方正仿宋_GBK"/>
                <w:b/>
                <w:bCs/>
                <w:color w:val="000000"/>
                <w:kern w:val="0"/>
                <w:sz w:val="24"/>
                <w:highlight w:val="none"/>
                <w:lang w:val="en-US" w:eastAsia="zh-CN"/>
              </w:rPr>
              <w:t>名称</w:t>
            </w:r>
          </w:p>
        </w:tc>
        <w:tc>
          <w:tcPr>
            <w:tcW w:w="12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规格型号</w:t>
            </w:r>
          </w:p>
        </w:tc>
        <w:tc>
          <w:tcPr>
            <w:tcW w:w="79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单位</w:t>
            </w:r>
          </w:p>
        </w:tc>
        <w:tc>
          <w:tcPr>
            <w:tcW w:w="97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数量</w:t>
            </w:r>
          </w:p>
        </w:tc>
        <w:tc>
          <w:tcPr>
            <w:tcW w:w="9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单价</w:t>
            </w:r>
          </w:p>
        </w:tc>
        <w:tc>
          <w:tcPr>
            <w:tcW w:w="13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总价</w:t>
            </w:r>
          </w:p>
        </w:tc>
        <w:tc>
          <w:tcPr>
            <w:tcW w:w="107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rPr>
            </w:pPr>
            <w:r>
              <w:rPr>
                <w:rFonts w:hint="eastAsia" w:ascii="方正仿宋_GBK" w:hAnsi="方正仿宋_GBK" w:eastAsia="方正仿宋_GBK" w:cs="方正仿宋_GBK"/>
                <w:b/>
                <w:bCs/>
                <w:color w:val="000000"/>
                <w:kern w:val="0"/>
                <w:sz w:val="24"/>
                <w:highlight w:val="none"/>
              </w:rPr>
              <w:t>品牌</w:t>
            </w:r>
          </w:p>
        </w:tc>
        <w:tc>
          <w:tcPr>
            <w:tcW w:w="113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b/>
                <w:bCs/>
                <w:color w:val="000000"/>
                <w:kern w:val="0"/>
                <w:sz w:val="24"/>
                <w:highlight w:val="none"/>
                <w:lang w:eastAsia="zh-CN"/>
              </w:rPr>
            </w:pPr>
            <w:r>
              <w:rPr>
                <w:rFonts w:hint="eastAsia" w:ascii="方正仿宋_GBK" w:hAnsi="方正仿宋_GBK" w:eastAsia="方正仿宋_GBK" w:cs="方正仿宋_GBK"/>
                <w:b/>
                <w:bCs/>
                <w:color w:val="000000"/>
                <w:kern w:val="0"/>
                <w:sz w:val="24"/>
                <w:highlight w:val="none"/>
                <w:lang w:val="en-US" w:eastAsia="zh-CN"/>
              </w:rPr>
              <w:t>备注</w:t>
            </w:r>
          </w:p>
        </w:tc>
      </w:tr>
      <w:tr>
        <w:tblPrEx>
          <w:tblCellMar>
            <w:top w:w="0" w:type="dxa"/>
            <w:left w:w="108" w:type="dxa"/>
            <w:bottom w:w="0" w:type="dxa"/>
            <w:right w:w="108" w:type="dxa"/>
          </w:tblCellMar>
        </w:tblPrEx>
        <w:trPr>
          <w:trHeight w:val="549"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1</w:t>
            </w:r>
          </w:p>
        </w:tc>
        <w:tc>
          <w:tcPr>
            <w:tcW w:w="820" w:type="dxa"/>
            <w:gridSpan w:val="2"/>
            <w:tcBorders>
              <w:top w:val="nil"/>
              <w:left w:val="single" w:color="auto" w:sz="4" w:space="0"/>
              <w:bottom w:val="single" w:color="000000"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000000"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lang w:val="en-US" w:eastAsia="zh-CN"/>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2</w:t>
            </w:r>
          </w:p>
        </w:tc>
        <w:tc>
          <w:tcPr>
            <w:tcW w:w="820" w:type="dxa"/>
            <w:gridSpan w:val="2"/>
            <w:tcBorders>
              <w:top w:val="nil"/>
              <w:left w:val="single" w:color="auto" w:sz="4" w:space="0"/>
              <w:bottom w:val="single" w:color="000000"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000000"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3</w:t>
            </w:r>
          </w:p>
        </w:tc>
        <w:tc>
          <w:tcPr>
            <w:tcW w:w="820" w:type="dxa"/>
            <w:gridSpan w:val="2"/>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8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w:t>
            </w:r>
          </w:p>
        </w:tc>
        <w:tc>
          <w:tcPr>
            <w:tcW w:w="820" w:type="dxa"/>
            <w:gridSpan w:val="2"/>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26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797"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7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945"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32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071"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c>
          <w:tcPr>
            <w:tcW w:w="1133" w:type="dxa"/>
            <w:tcBorders>
              <w:top w:val="nil"/>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p>
        </w:tc>
      </w:tr>
      <w:tr>
        <w:tblPrEx>
          <w:tblCellMar>
            <w:top w:w="0" w:type="dxa"/>
            <w:left w:w="108" w:type="dxa"/>
            <w:bottom w:w="0" w:type="dxa"/>
            <w:right w:w="108" w:type="dxa"/>
          </w:tblCellMar>
        </w:tblPrEx>
        <w:trPr>
          <w:trHeight w:val="561" w:hRule="atLeast"/>
        </w:trPr>
        <w:tc>
          <w:tcPr>
            <w:tcW w:w="3738" w:type="dxa"/>
            <w:gridSpan w:val="5"/>
            <w:tcBorders>
              <w:top w:val="single" w:color="auto" w:sz="4" w:space="0"/>
              <w:left w:val="single" w:color="auto" w:sz="4" w:space="0"/>
              <w:bottom w:val="single" w:color="auto" w:sz="4" w:space="0"/>
            </w:tcBorders>
            <w:vAlign w:val="center"/>
          </w:tcPr>
          <w:p>
            <w:pPr>
              <w:widowControl/>
              <w:spacing w:line="360" w:lineRule="auto"/>
              <w:rPr>
                <w:rFonts w:hint="eastAsia" w:ascii="方正仿宋_GBK" w:hAnsi="方正仿宋_GBK" w:eastAsia="方正仿宋_GBK" w:cs="方正仿宋_GBK"/>
                <w:b/>
                <w:color w:val="000000"/>
                <w:kern w:val="0"/>
                <w:sz w:val="24"/>
                <w:highlight w:val="none"/>
              </w:rPr>
            </w:pPr>
            <w:r>
              <w:rPr>
                <w:rFonts w:hint="eastAsia" w:ascii="方正仿宋_GBK" w:hAnsi="方正仿宋_GBK" w:eastAsia="方正仿宋_GBK" w:cs="方正仿宋_GBK"/>
                <w:b/>
                <w:color w:val="auto"/>
                <w:kern w:val="0"/>
                <w:sz w:val="24"/>
                <w:highlight w:val="none"/>
                <w:lang w:val="en-US" w:eastAsia="zh-CN"/>
              </w:rPr>
              <w:t>含税总价</w:t>
            </w:r>
            <w:r>
              <w:rPr>
                <w:rFonts w:hint="eastAsia" w:ascii="方正仿宋_GBK" w:hAnsi="方正仿宋_GBK" w:eastAsia="方正仿宋_GBK" w:cs="方正仿宋_GBK"/>
                <w:b/>
                <w:color w:val="auto"/>
                <w:kern w:val="0"/>
                <w:sz w:val="24"/>
                <w:highlight w:val="none"/>
              </w:rPr>
              <w:t>合计</w:t>
            </w:r>
            <w:r>
              <w:rPr>
                <w:rFonts w:hint="eastAsia" w:ascii="方正仿宋_GBK" w:hAnsi="方正仿宋_GBK" w:eastAsia="方正仿宋_GBK" w:cs="方正仿宋_GBK"/>
                <w:color w:val="auto"/>
                <w:kern w:val="0"/>
                <w:sz w:val="24"/>
                <w:highlight w:val="none"/>
                <w:lang w:eastAsia="zh-CN"/>
              </w:rPr>
              <w:t>：</w:t>
            </w:r>
            <w:r>
              <w:rPr>
                <w:rFonts w:hint="eastAsia" w:ascii="方正仿宋_GBK" w:hAnsi="方正仿宋_GBK" w:eastAsia="方正仿宋_GBK" w:cs="方正仿宋_GBK"/>
                <w:color w:val="auto"/>
                <w:kern w:val="0"/>
                <w:sz w:val="24"/>
                <w:highlight w:val="none"/>
                <w:u w:val="single"/>
                <w:lang w:val="en-US" w:eastAsia="zh-CN"/>
              </w:rPr>
              <w:t xml:space="preserve">          </w:t>
            </w:r>
            <w:r>
              <w:rPr>
                <w:rFonts w:hint="eastAsia" w:ascii="方正仿宋_GBK" w:hAnsi="方正仿宋_GBK" w:eastAsia="方正仿宋_GBK" w:cs="方正仿宋_GBK"/>
                <w:b/>
                <w:bCs/>
                <w:color w:val="auto"/>
                <w:kern w:val="0"/>
                <w:sz w:val="24"/>
                <w:highlight w:val="none"/>
                <w:lang w:val="en-US" w:eastAsia="zh-CN"/>
              </w:rPr>
              <w:t>元</w:t>
            </w:r>
            <w:r>
              <w:rPr>
                <w:rFonts w:hint="eastAsia" w:ascii="方正仿宋_GBK" w:hAnsi="方正仿宋_GBK" w:eastAsia="方正仿宋_GBK" w:cs="方正仿宋_GBK"/>
                <w:b/>
                <w:bCs/>
                <w:color w:val="auto"/>
                <w:kern w:val="0"/>
                <w:sz w:val="24"/>
                <w:highlight w:val="none"/>
              </w:rPr>
              <w:t xml:space="preserve"> </w:t>
            </w:r>
          </w:p>
        </w:tc>
        <w:tc>
          <w:tcPr>
            <w:tcW w:w="5445" w:type="dxa"/>
            <w:gridSpan w:val="5"/>
            <w:tcBorders>
              <w:top w:val="single" w:color="auto" w:sz="4" w:space="0"/>
              <w:bottom w:val="single" w:color="auto" w:sz="4" w:space="0"/>
              <w:right w:val="single" w:color="auto" w:sz="4" w:space="0"/>
            </w:tcBorders>
            <w:vAlign w:val="center"/>
          </w:tcPr>
          <w:p>
            <w:pPr>
              <w:widowControl/>
              <w:spacing w:line="360" w:lineRule="auto"/>
              <w:rPr>
                <w:rFonts w:hint="eastAsia" w:ascii="方正仿宋_GBK" w:hAnsi="方正仿宋_GBK" w:eastAsia="方正仿宋_GBK" w:cs="方正仿宋_GBK"/>
                <w:b/>
                <w:color w:val="000000"/>
                <w:kern w:val="0"/>
                <w:sz w:val="24"/>
                <w:highlight w:val="none"/>
              </w:rPr>
            </w:pPr>
            <w:r>
              <w:rPr>
                <w:rFonts w:hint="eastAsia" w:ascii="方正仿宋_GBK" w:hAnsi="方正仿宋_GBK" w:eastAsia="方正仿宋_GBK" w:cs="方正仿宋_GBK"/>
                <w:b/>
                <w:color w:val="auto"/>
                <w:kern w:val="0"/>
                <w:sz w:val="24"/>
                <w:highlight w:val="none"/>
              </w:rPr>
              <w:t>（大写</w:t>
            </w:r>
            <w:r>
              <w:rPr>
                <w:rFonts w:hint="eastAsia" w:ascii="方正仿宋_GBK" w:hAnsi="方正仿宋_GBK" w:eastAsia="方正仿宋_GBK" w:cs="方正仿宋_GBK"/>
                <w:color w:val="auto"/>
                <w:kern w:val="0"/>
                <w:sz w:val="24"/>
                <w:highlight w:val="none"/>
                <w:u w:val="single"/>
                <w:lang w:val="en-US" w:eastAsia="zh-CN"/>
              </w:rPr>
              <w:t xml:space="preserve">                           </w:t>
            </w:r>
            <w:r>
              <w:rPr>
                <w:rFonts w:hint="eastAsia" w:ascii="方正仿宋_GBK" w:hAnsi="方正仿宋_GBK" w:eastAsia="方正仿宋_GBK" w:cs="方正仿宋_GBK"/>
                <w:b/>
                <w:color w:val="auto"/>
                <w:kern w:val="0"/>
                <w:sz w:val="24"/>
                <w:highlight w:val="none"/>
              </w:rPr>
              <w:t>）</w:t>
            </w:r>
          </w:p>
        </w:tc>
      </w:tr>
      <w:tr>
        <w:tblPrEx>
          <w:tblCellMar>
            <w:top w:w="0" w:type="dxa"/>
            <w:left w:w="108" w:type="dxa"/>
            <w:bottom w:w="0" w:type="dxa"/>
            <w:right w:w="108" w:type="dxa"/>
          </w:tblCellMar>
        </w:tblPrEx>
        <w:trPr>
          <w:trHeight w:val="861" w:hRule="atLeast"/>
        </w:trPr>
        <w:tc>
          <w:tcPr>
            <w:tcW w:w="9183" w:type="dxa"/>
            <w:gridSpan w:val="10"/>
            <w:tcBorders>
              <w:top w:val="single" w:color="auto" w:sz="4" w:space="0"/>
              <w:left w:val="single" w:color="auto" w:sz="4" w:space="0"/>
              <w:bottom w:val="single" w:color="auto" w:sz="4" w:space="0"/>
              <w:right w:val="single" w:color="auto" w:sz="4" w:space="0"/>
            </w:tcBorders>
            <w:vAlign w:val="center"/>
          </w:tcPr>
          <w:p>
            <w:pPr>
              <w:widowControl/>
              <w:numPr>
                <w:ilvl w:val="0"/>
                <w:numId w:val="0"/>
              </w:numPr>
              <w:spacing w:line="360" w:lineRule="auto"/>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b w:val="0"/>
                <w:bCs/>
                <w:color w:val="auto"/>
                <w:kern w:val="0"/>
                <w:sz w:val="24"/>
                <w:highlight w:val="none"/>
                <w:lang w:val="en-US" w:eastAsia="zh-CN"/>
              </w:rPr>
              <w:t>不含税总价为</w:t>
            </w:r>
            <w:r>
              <w:rPr>
                <w:rFonts w:hint="eastAsia" w:ascii="方正仿宋_GBK" w:hAnsi="方正仿宋_GBK" w:eastAsia="方正仿宋_GBK" w:cs="方正仿宋_GBK"/>
                <w:b w:val="0"/>
                <w:bCs/>
                <w:color w:val="auto"/>
                <w:kern w:val="0"/>
                <w:sz w:val="24"/>
                <w:highlight w:val="none"/>
                <w:u w:val="single"/>
                <w:lang w:val="en-US" w:eastAsia="zh-CN"/>
              </w:rPr>
              <w:t xml:space="preserve">           </w:t>
            </w:r>
            <w:r>
              <w:rPr>
                <w:rFonts w:hint="eastAsia" w:ascii="方正仿宋_GBK" w:hAnsi="方正仿宋_GBK" w:eastAsia="方正仿宋_GBK" w:cs="方正仿宋_GBK"/>
                <w:b w:val="0"/>
                <w:bCs/>
                <w:color w:val="auto"/>
                <w:kern w:val="0"/>
                <w:sz w:val="24"/>
                <w:highlight w:val="none"/>
                <w:lang w:val="en-US" w:eastAsia="zh-CN"/>
              </w:rPr>
              <w:t>元，税金为</w:t>
            </w:r>
            <w:r>
              <w:rPr>
                <w:rFonts w:hint="eastAsia" w:ascii="方正仿宋_GBK" w:hAnsi="方正仿宋_GBK" w:eastAsia="方正仿宋_GBK" w:cs="方正仿宋_GBK"/>
                <w:b w:val="0"/>
                <w:bCs/>
                <w:color w:val="auto"/>
                <w:kern w:val="0"/>
                <w:sz w:val="24"/>
                <w:highlight w:val="none"/>
                <w:u w:val="single"/>
                <w:lang w:val="en-US" w:eastAsia="zh-CN"/>
              </w:rPr>
              <w:t xml:space="preserve">           </w:t>
            </w:r>
            <w:r>
              <w:rPr>
                <w:rFonts w:hint="eastAsia" w:ascii="方正仿宋_GBK" w:hAnsi="方正仿宋_GBK" w:eastAsia="方正仿宋_GBK" w:cs="方正仿宋_GBK"/>
                <w:b w:val="0"/>
                <w:bCs/>
                <w:color w:val="auto"/>
                <w:kern w:val="0"/>
                <w:sz w:val="24"/>
                <w:highlight w:val="none"/>
                <w:lang w:val="en-US" w:eastAsia="zh-CN"/>
              </w:rPr>
              <w:t>元。</w:t>
            </w:r>
          </w:p>
        </w:tc>
      </w:tr>
      <w:tr>
        <w:tblPrEx>
          <w:tblCellMar>
            <w:top w:w="0" w:type="dxa"/>
            <w:left w:w="108" w:type="dxa"/>
            <w:bottom w:w="0" w:type="dxa"/>
            <w:right w:w="108" w:type="dxa"/>
          </w:tblCellMar>
        </w:tblPrEx>
        <w:trPr>
          <w:trHeight w:val="528" w:hRule="atLeast"/>
        </w:trPr>
        <w:tc>
          <w:tcPr>
            <w:tcW w:w="1220" w:type="dxa"/>
            <w:gridSpan w:val="2"/>
            <w:tcBorders>
              <w:top w:val="nil"/>
              <w:left w:val="single" w:color="auto" w:sz="4" w:space="0"/>
              <w:bottom w:val="single" w:color="auto" w:sz="4" w:space="0"/>
              <w:right w:val="single" w:color="auto" w:sz="4" w:space="0"/>
            </w:tcBorders>
            <w:vAlign w:val="center"/>
          </w:tcPr>
          <w:p>
            <w:pPr>
              <w:widowControl/>
              <w:spacing w:line="360" w:lineRule="auto"/>
              <w:jc w:val="left"/>
              <w:rPr>
                <w:rFonts w:hint="eastAsia" w:ascii="方正仿宋_GBK" w:hAns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发票类型</w:t>
            </w:r>
          </w:p>
        </w:tc>
        <w:tc>
          <w:tcPr>
            <w:tcW w:w="2518" w:type="dxa"/>
            <w:gridSpan w:val="3"/>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 xml:space="preserve">□13%增值税专用发票  </w:t>
            </w:r>
          </w:p>
        </w:tc>
        <w:tc>
          <w:tcPr>
            <w:tcW w:w="5445" w:type="dxa"/>
            <w:gridSpan w:val="5"/>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方正仿宋_GBK" w:hAns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到货周期</w:t>
            </w:r>
            <w:r>
              <w:rPr>
                <w:rFonts w:hint="eastAsia" w:ascii="方正仿宋_GBK" w:hAnsi="方正仿宋_GBK" w:eastAsia="方正仿宋_GBK" w:cs="方正仿宋_GBK"/>
                <w:color w:val="auto"/>
                <w:kern w:val="0"/>
                <w:sz w:val="24"/>
                <w:highlight w:val="none"/>
                <w:u w:val="single"/>
              </w:rPr>
              <w:t>__________________</w:t>
            </w:r>
            <w:r>
              <w:rPr>
                <w:rFonts w:hint="eastAsia" w:ascii="方正仿宋_GBK" w:hAnsi="方正仿宋_GBK" w:eastAsia="方正仿宋_GBK" w:cs="方正仿宋_GBK"/>
                <w:color w:val="auto"/>
                <w:kern w:val="0"/>
                <w:sz w:val="24"/>
                <w:highlight w:val="none"/>
              </w:rPr>
              <w:t>天</w:t>
            </w:r>
          </w:p>
        </w:tc>
      </w:tr>
    </w:tbl>
    <w:p>
      <w:pPr>
        <w:spacing w:line="360" w:lineRule="auto"/>
        <w:ind w:firstLine="560" w:firstLineChars="20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rPr>
          <w:rFonts w:hint="eastAsia" w:ascii="方正仿宋_GBK" w:hAnsi="方正仿宋_GBK" w:eastAsia="方正仿宋_GBK" w:cs="方正仿宋_GBK"/>
        </w:rPr>
      </w:pPr>
    </w:p>
    <w:p>
      <w:pPr>
        <w:adjustRightInd w:val="0"/>
        <w:snapToGrid w:val="0"/>
        <w:spacing w:line="360" w:lineRule="auto"/>
        <w:ind w:right="728"/>
        <w:jc w:val="left"/>
        <w:outlineLvl w:val="0"/>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color w:val="auto"/>
          <w:sz w:val="28"/>
          <w:szCs w:val="28"/>
          <w:highlight w:val="none"/>
        </w:rPr>
        <w:br w:type="page"/>
      </w:r>
      <w:bookmarkStart w:id="97" w:name="_Toc20290"/>
      <w:bookmarkStart w:id="98" w:name="_Toc22271"/>
      <w:bookmarkStart w:id="99" w:name="_Toc28729"/>
      <w:bookmarkStart w:id="100" w:name="_Toc7536"/>
      <w:bookmarkStart w:id="101" w:name="_Toc414026246"/>
      <w:r>
        <w:rPr>
          <w:rStyle w:val="41"/>
          <w:rFonts w:hint="eastAsia" w:ascii="方正仿宋_GBK" w:hAnsi="方正仿宋_GBK" w:eastAsia="方正仿宋_GBK" w:cs="方正仿宋_GBK"/>
          <w:color w:val="auto"/>
          <w:sz w:val="28"/>
          <w:szCs w:val="28"/>
          <w:highlight w:val="none"/>
        </w:rPr>
        <w:t>附件</w:t>
      </w:r>
      <w:r>
        <w:rPr>
          <w:rStyle w:val="41"/>
          <w:rFonts w:hint="eastAsia" w:ascii="方正仿宋_GBK" w:hAnsi="方正仿宋_GBK" w:eastAsia="方正仿宋_GBK" w:cs="方正仿宋_GBK"/>
          <w:color w:val="auto"/>
          <w:sz w:val="28"/>
          <w:szCs w:val="28"/>
          <w:highlight w:val="none"/>
          <w:lang w:val="en-US" w:eastAsia="zh-CN"/>
        </w:rPr>
        <w:t>四</w:t>
      </w:r>
      <w:r>
        <w:rPr>
          <w:rStyle w:val="41"/>
          <w:rFonts w:hint="eastAsia" w:ascii="方正仿宋_GBK" w:hAnsi="方正仿宋_GBK" w:eastAsia="方正仿宋_GBK" w:cs="方正仿宋_GBK"/>
          <w:color w:val="auto"/>
          <w:sz w:val="28"/>
          <w:szCs w:val="28"/>
          <w:highlight w:val="none"/>
        </w:rPr>
        <w:t>：技术偏离表</w:t>
      </w:r>
      <w:bookmarkEnd w:id="97"/>
      <w:bookmarkEnd w:id="98"/>
      <w:bookmarkEnd w:id="99"/>
      <w:bookmarkEnd w:id="100"/>
    </w:p>
    <w:p>
      <w:pPr>
        <w:spacing w:after="240" w:line="360" w:lineRule="auto"/>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技术要求偏离表</w:t>
      </w:r>
    </w:p>
    <w:p>
      <w:pPr>
        <w:adjustRightInd w:val="0"/>
        <w:snapToGrid w:val="0"/>
        <w:spacing w:line="360" w:lineRule="auto"/>
        <w:ind w:left="-105" w:leftChars="-5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项目名称：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06"/>
        <w:gridCol w:w="2368"/>
        <w:gridCol w:w="2168"/>
        <w:gridCol w:w="1704"/>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3"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序号</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文件技术要求</w:t>
            </w: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参选文件响应</w:t>
            </w: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偏离</w:t>
            </w: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1</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（正/负/无）</w:t>
            </w: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r>
              <w:rPr>
                <w:rFonts w:hint="eastAsia" w:ascii="方正仿宋_GBK" w:hAnsi="方正仿宋_GBK" w:eastAsia="方正仿宋_GBK" w:cs="方正仿宋_GBK"/>
                <w:color w:val="000000"/>
                <w:kern w:val="0"/>
                <w:sz w:val="24"/>
                <w:highlight w:val="none"/>
              </w:rPr>
              <w:t>2</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r>
              <w:rPr>
                <w:rFonts w:hint="eastAsia" w:ascii="方正仿宋_GBK" w:hAnsi="方正仿宋_GBK" w:eastAsia="方正仿宋_GBK" w:cs="方正仿宋_GBK"/>
                <w:color w:val="000000"/>
                <w:kern w:val="0"/>
                <w:sz w:val="24"/>
                <w:highlight w:val="none"/>
                <w:lang w:val="en-US" w:eastAsia="zh-CN"/>
              </w:rPr>
              <w:t>3</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006"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lang w:val="en-US" w:eastAsia="zh-CN"/>
              </w:rPr>
            </w:pPr>
            <w:r>
              <w:rPr>
                <w:rFonts w:hint="eastAsia" w:ascii="方正仿宋_GBK" w:hAnsi="方正仿宋_GBK" w:eastAsia="方正仿宋_GBK" w:cs="方正仿宋_GBK"/>
                <w:color w:val="000000"/>
                <w:kern w:val="0"/>
                <w:sz w:val="24"/>
                <w:highlight w:val="none"/>
                <w:lang w:val="en-US" w:eastAsia="zh-CN"/>
              </w:rPr>
              <w:t>……</w:t>
            </w:r>
          </w:p>
        </w:tc>
        <w:tc>
          <w:tcPr>
            <w:tcW w:w="23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2168"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704"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c>
          <w:tcPr>
            <w:tcW w:w="1290" w:type="dxa"/>
            <w:vAlign w:val="center"/>
          </w:tcPr>
          <w:p>
            <w:pPr>
              <w:widowControl/>
              <w:spacing w:after="240" w:line="360" w:lineRule="auto"/>
              <w:jc w:val="center"/>
              <w:rPr>
                <w:rFonts w:hint="eastAsia" w:ascii="方正仿宋_GBK" w:hAnsi="方正仿宋_GBK" w:eastAsia="方正仿宋_GBK" w:cs="方正仿宋_GBK"/>
                <w:color w:val="000000"/>
                <w:kern w:val="0"/>
                <w:sz w:val="24"/>
                <w:highlight w:val="none"/>
              </w:rPr>
            </w:pPr>
          </w:p>
        </w:tc>
      </w:tr>
    </w:tbl>
    <w:p>
      <w:pPr>
        <w:widowControl/>
        <w:spacing w:after="240" w:line="360" w:lineRule="auto"/>
        <w:jc w:val="left"/>
        <w:rPr>
          <w:rFonts w:hint="eastAsia" w:ascii="方正仿宋_GBK" w:hAnsi="方正仿宋_GBK" w:eastAsia="方正仿宋_GBK" w:cs="方正仿宋_GBK"/>
          <w:color w:val="000000"/>
          <w:kern w:val="0"/>
          <w:sz w:val="28"/>
          <w:szCs w:val="28"/>
          <w:highlight w:val="none"/>
        </w:rPr>
      </w:pPr>
      <w:r>
        <w:rPr>
          <w:rFonts w:hint="eastAsia" w:ascii="方正仿宋_GBK" w:hAnsi="方正仿宋_GBK" w:eastAsia="方正仿宋_GBK" w:cs="方正仿宋_GBK"/>
          <w:color w:val="000000"/>
          <w:kern w:val="0"/>
          <w:sz w:val="28"/>
          <w:szCs w:val="28"/>
          <w:highlight w:val="none"/>
        </w:rPr>
        <w:t>填报说明：</w:t>
      </w:r>
      <w:r>
        <w:rPr>
          <w:rFonts w:hint="eastAsia" w:ascii="方正仿宋_GBK" w:hAnsi="方正仿宋_GBK" w:eastAsia="方正仿宋_GBK" w:cs="方正仿宋_GBK"/>
          <w:color w:val="000000"/>
          <w:kern w:val="0"/>
          <w:sz w:val="28"/>
          <w:szCs w:val="28"/>
          <w:highlight w:val="none"/>
          <w:lang w:eastAsia="zh-CN"/>
        </w:rPr>
        <w:t>参选人</w:t>
      </w:r>
      <w:r>
        <w:rPr>
          <w:rFonts w:hint="eastAsia" w:ascii="方正仿宋_GBK" w:hAnsi="方正仿宋_GBK" w:eastAsia="方正仿宋_GBK" w:cs="方正仿宋_GBK"/>
          <w:color w:val="000000"/>
          <w:kern w:val="0"/>
          <w:sz w:val="28"/>
          <w:szCs w:val="28"/>
          <w:highlight w:val="none"/>
        </w:rPr>
        <w:t>必须仔细阅读比选文件《技术要求》有关条款，并对所有</w:t>
      </w:r>
      <w:r>
        <w:rPr>
          <w:rFonts w:hint="eastAsia" w:ascii="方正仿宋_GBK" w:hAnsi="方正仿宋_GBK" w:eastAsia="方正仿宋_GBK" w:cs="方正仿宋_GBK"/>
          <w:color w:val="000000"/>
          <w:kern w:val="0"/>
          <w:sz w:val="28"/>
          <w:szCs w:val="28"/>
          <w:highlight w:val="none"/>
          <w:lang w:val="en-US" w:eastAsia="zh-CN"/>
        </w:rPr>
        <w:t>技术要求响应情况填入</w:t>
      </w:r>
      <w:r>
        <w:rPr>
          <w:rFonts w:hint="eastAsia" w:ascii="方正仿宋_GBK" w:hAnsi="方正仿宋_GBK" w:eastAsia="方正仿宋_GBK" w:cs="方正仿宋_GBK"/>
          <w:color w:val="000000"/>
          <w:kern w:val="0"/>
          <w:sz w:val="28"/>
          <w:szCs w:val="28"/>
          <w:highlight w:val="none"/>
        </w:rPr>
        <w:t>偏离列入上表</w:t>
      </w:r>
      <w:r>
        <w:rPr>
          <w:rFonts w:hint="eastAsia" w:ascii="方正仿宋_GBK" w:hAnsi="方正仿宋_GBK" w:eastAsia="方正仿宋_GBK" w:cs="方正仿宋_GBK"/>
          <w:color w:val="000000"/>
          <w:kern w:val="0"/>
          <w:sz w:val="28"/>
          <w:szCs w:val="28"/>
          <w:highlight w:val="none"/>
          <w:lang w:eastAsia="zh-CN"/>
        </w:rPr>
        <w:t>，</w:t>
      </w:r>
      <w:r>
        <w:rPr>
          <w:rFonts w:hint="eastAsia" w:ascii="方正仿宋_GBK" w:hAnsi="方正仿宋_GBK" w:eastAsia="方正仿宋_GBK" w:cs="方正仿宋_GBK"/>
          <w:b/>
          <w:bCs/>
          <w:color w:val="000000"/>
          <w:kern w:val="0"/>
          <w:sz w:val="28"/>
          <w:szCs w:val="28"/>
          <w:highlight w:val="none"/>
          <w:u w:val="single"/>
          <w:lang w:val="en-US" w:eastAsia="zh-CN"/>
        </w:rPr>
        <w:t>无偏离填“完全响应”，正偏离填对应的内容，不允许有负偏离</w:t>
      </w:r>
      <w:r>
        <w:rPr>
          <w:rFonts w:hint="eastAsia" w:ascii="方正仿宋_GBK" w:hAnsi="方正仿宋_GBK" w:eastAsia="方正仿宋_GBK" w:cs="方正仿宋_GBK"/>
          <w:color w:val="000000"/>
          <w:kern w:val="0"/>
          <w:sz w:val="28"/>
          <w:szCs w:val="28"/>
          <w:highlight w:val="none"/>
        </w:rPr>
        <w:t>。</w:t>
      </w:r>
    </w:p>
    <w:p>
      <w:pPr>
        <w:widowControl/>
        <w:spacing w:after="240" w:line="360" w:lineRule="auto"/>
        <w:jc w:val="left"/>
        <w:rPr>
          <w:rFonts w:hint="eastAsia" w:ascii="方正仿宋_GBK" w:hAnsi="方正仿宋_GBK" w:eastAsia="方正仿宋_GBK" w:cs="方正仿宋_GBK"/>
          <w:color w:val="000000"/>
          <w:kern w:val="0"/>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br w:type="page"/>
      </w:r>
    </w:p>
    <w:p>
      <w:pPr>
        <w:pStyle w:val="3"/>
        <w:snapToGrid w:val="0"/>
        <w:spacing w:before="0" w:after="0" w:line="360" w:lineRule="auto"/>
        <w:ind w:left="3107" w:hanging="3107"/>
        <w:rPr>
          <w:rFonts w:hint="eastAsia" w:ascii="方正仿宋_GBK" w:hAnsi="方正仿宋_GBK" w:eastAsia="方正仿宋_GBK" w:cs="方正仿宋_GBK"/>
          <w:color w:val="auto"/>
          <w:sz w:val="28"/>
          <w:szCs w:val="28"/>
          <w:highlight w:val="none"/>
        </w:rPr>
      </w:pPr>
      <w:bookmarkStart w:id="102" w:name="_Toc2776"/>
      <w:bookmarkStart w:id="103" w:name="_Toc9727"/>
      <w:bookmarkStart w:id="104" w:name="_Toc9049"/>
      <w:bookmarkStart w:id="105" w:name="_Toc325"/>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五</w:t>
      </w:r>
      <w:r>
        <w:rPr>
          <w:rFonts w:hint="eastAsia" w:ascii="方正仿宋_GBK" w:hAnsi="方正仿宋_GBK" w:eastAsia="方正仿宋_GBK" w:cs="方正仿宋_GBK"/>
          <w:snapToGrid w:val="0"/>
          <w:color w:val="auto"/>
          <w:kern w:val="0"/>
          <w:sz w:val="28"/>
          <w:szCs w:val="28"/>
          <w:highlight w:val="none"/>
        </w:rPr>
        <w:t>：参选承诺函</w:t>
      </w:r>
      <w:bookmarkEnd w:id="102"/>
      <w:bookmarkEnd w:id="103"/>
      <w:bookmarkEnd w:id="104"/>
      <w:bookmarkEnd w:id="105"/>
    </w:p>
    <w:p>
      <w:pPr>
        <w:tabs>
          <w:tab w:val="left" w:pos="6300"/>
        </w:tabs>
        <w:adjustRightInd w:val="0"/>
        <w:snapToGrid w:val="0"/>
        <w:spacing w:line="360" w:lineRule="auto"/>
        <w:ind w:left="1265" w:hanging="1265" w:hangingChars="450"/>
        <w:jc w:val="center"/>
        <w:rPr>
          <w:rFonts w:hint="eastAsia" w:ascii="方正仿宋_GBK" w:hAnsi="方正仿宋_GBK" w:eastAsia="方正仿宋_GBK" w:cs="方正仿宋_GBK"/>
          <w:b/>
          <w:color w:val="auto"/>
          <w:sz w:val="28"/>
          <w:szCs w:val="28"/>
          <w:highlight w:val="none"/>
        </w:rPr>
      </w:pPr>
      <w:r>
        <w:rPr>
          <w:rFonts w:hint="eastAsia" w:ascii="方正仿宋_GBK" w:hAnsi="方正仿宋_GBK" w:eastAsia="方正仿宋_GBK" w:cs="方正仿宋_GBK"/>
          <w:b/>
          <w:color w:val="auto"/>
          <w:sz w:val="28"/>
          <w:szCs w:val="28"/>
          <w:highlight w:val="none"/>
        </w:rPr>
        <w:t>参选承诺函</w:t>
      </w:r>
      <w:bookmarkEnd w:id="101"/>
    </w:p>
    <w:p>
      <w:pPr>
        <w:tabs>
          <w:tab w:val="left" w:pos="6300"/>
        </w:tabs>
        <w:adjustRightInd w:val="0"/>
        <w:snapToGrid w:val="0"/>
        <w:spacing w:line="360" w:lineRule="auto"/>
        <w:ind w:left="1265" w:hanging="1265" w:hangingChars="450"/>
        <w:jc w:val="center"/>
        <w:rPr>
          <w:rFonts w:hint="eastAsia" w:ascii="方正仿宋_GBK" w:hAnsi="方正仿宋_GBK" w:eastAsia="方正仿宋_GBK" w:cs="方正仿宋_GBK"/>
          <w:b/>
          <w:color w:val="auto"/>
          <w:sz w:val="28"/>
          <w:szCs w:val="28"/>
          <w:highlight w:val="none"/>
        </w:rPr>
      </w:pPr>
    </w:p>
    <w:p>
      <w:pPr>
        <w:tabs>
          <w:tab w:val="left" w:pos="6300"/>
        </w:tabs>
        <w:adjustRightInd w:val="0"/>
        <w:snapToGrid w:val="0"/>
        <w:spacing w:line="360" w:lineRule="auto"/>
        <w:ind w:left="1260" w:hanging="1260" w:hangingChars="45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项目名称：重庆轨道交通九号线二期工程（兴科大道～花石沟）</w:t>
      </w:r>
      <w:r>
        <w:rPr>
          <w:rFonts w:hint="eastAsia" w:ascii="方正仿宋_GBK" w:hAnsi="方正仿宋_GBK" w:eastAsia="方正仿宋_GBK" w:cs="方正仿宋_GBK"/>
          <w:color w:val="auto"/>
          <w:sz w:val="28"/>
          <w:szCs w:val="28"/>
          <w:highlight w:val="none"/>
          <w:lang w:val="en-US" w:eastAsia="zh-CN"/>
        </w:rPr>
        <w:t>风水电系统双面彩钢复合风管采购</w:t>
      </w: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致：重庆机电控股集团机电工程技术有限公司</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u w:val="single"/>
        </w:rPr>
        <w:t>（</w:t>
      </w:r>
      <w:r>
        <w:rPr>
          <w:rFonts w:hint="eastAsia" w:ascii="方正仿宋_GBK" w:hAnsi="方正仿宋_GBK" w:eastAsia="方正仿宋_GBK" w:cs="方正仿宋_GBK"/>
          <w:color w:val="auto"/>
          <w:sz w:val="28"/>
          <w:szCs w:val="28"/>
          <w:highlight w:val="none"/>
          <w:u w:val="single"/>
          <w:lang w:eastAsia="zh-CN"/>
        </w:rPr>
        <w:t>参选人</w:t>
      </w:r>
      <w:r>
        <w:rPr>
          <w:rFonts w:hint="eastAsia" w:ascii="方正仿宋_GBK" w:hAnsi="方正仿宋_GBK" w:eastAsia="方正仿宋_GBK" w:cs="方正仿宋_GBK"/>
          <w:color w:val="auto"/>
          <w:sz w:val="28"/>
          <w:szCs w:val="28"/>
          <w:highlight w:val="none"/>
          <w:u w:val="single"/>
        </w:rPr>
        <w:t>名称）</w:t>
      </w:r>
      <w:r>
        <w:rPr>
          <w:rFonts w:hint="eastAsia" w:ascii="方正仿宋_GBK" w:hAnsi="方正仿宋_GBK" w:eastAsia="方正仿宋_GBK" w:cs="方正仿宋_GBK"/>
          <w:color w:val="auto"/>
          <w:sz w:val="28"/>
          <w:szCs w:val="28"/>
          <w:highlight w:val="none"/>
        </w:rPr>
        <w:t>，在此作如下承诺：</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1．完全理解和接受参选文件的一切规定和要求。</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若达成意向购买，我方将按照参选文件的具体规定与重庆机电控股集团机电工程技术有限公司签订合同，并且严格履行合同义务，按时交货。如果在合同执行过程中，发现产品质量有问题我方一定按要求修复/重新更换，并承担相应的经济责任。</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3．在整个参选过程中，我方若有违规行为，贵方可按参选文件和《</w:t>
      </w:r>
      <w:r>
        <w:rPr>
          <w:rFonts w:hint="eastAsia" w:ascii="方正仿宋_GBK" w:hAnsi="方正仿宋_GBK" w:eastAsia="方正仿宋_GBK" w:cs="方正仿宋_GBK"/>
          <w:color w:val="auto"/>
          <w:sz w:val="28"/>
          <w:szCs w:val="28"/>
          <w:highlight w:val="none"/>
          <w:lang w:val="en-US" w:eastAsia="zh-CN"/>
        </w:rPr>
        <w:t>民法典</w:t>
      </w:r>
      <w:r>
        <w:rPr>
          <w:rFonts w:hint="eastAsia" w:ascii="方正仿宋_GBK" w:hAnsi="方正仿宋_GBK" w:eastAsia="方正仿宋_GBK" w:cs="方正仿宋_GBK"/>
          <w:color w:val="auto"/>
          <w:sz w:val="28"/>
          <w:szCs w:val="28"/>
          <w:highlight w:val="none"/>
        </w:rPr>
        <w:t>》之规定给予惩罚，我方完全接受。</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4．若中选，本承诺函将成为合同不可分割的一部分，与合同具有同等的法律效力。</w:t>
      </w: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tabs>
          <w:tab w:val="left" w:pos="6300"/>
        </w:tabs>
        <w:adjustRightInd w:val="0"/>
        <w:snapToGrid w:val="0"/>
        <w:spacing w:line="360" w:lineRule="auto"/>
        <w:ind w:firstLine="570"/>
        <w:rPr>
          <w:rFonts w:hint="eastAsia" w:ascii="方正仿宋_GBK" w:hAnsi="方正仿宋_GBK" w:eastAsia="方正仿宋_GBK" w:cs="方正仿宋_GBK"/>
          <w:color w:val="auto"/>
          <w:sz w:val="28"/>
          <w:szCs w:val="28"/>
          <w:highlight w:val="none"/>
        </w:rPr>
      </w:pPr>
    </w:p>
    <w:p>
      <w:pPr>
        <w:wordWrap w:val="0"/>
        <w:spacing w:line="600" w:lineRule="auto"/>
        <w:ind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参选人</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盖公</w:t>
      </w:r>
      <w:r>
        <w:rPr>
          <w:rFonts w:hint="eastAsia" w:ascii="方正仿宋_GBK" w:hAnsi="方正仿宋_GBK" w:eastAsia="方正仿宋_GBK" w:cs="方正仿宋_GBK"/>
          <w:color w:val="auto"/>
          <w:sz w:val="28"/>
          <w:szCs w:val="28"/>
          <w:highlight w:val="none"/>
        </w:rPr>
        <w:t>章）</w:t>
      </w:r>
    </w:p>
    <w:p>
      <w:pPr>
        <w:spacing w:line="600" w:lineRule="auto"/>
        <w:ind w:firstLine="560" w:firstLineChars="2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法定代表人或</w:t>
      </w:r>
      <w:r>
        <w:rPr>
          <w:rFonts w:hint="eastAsia" w:ascii="方正仿宋_GBK" w:hAnsi="方正仿宋_GBK" w:eastAsia="方正仿宋_GBK" w:cs="方正仿宋_GBK"/>
          <w:color w:val="auto"/>
          <w:sz w:val="28"/>
          <w:szCs w:val="28"/>
          <w:highlight w:val="none"/>
          <w:lang w:val="en-US" w:eastAsia="zh-CN"/>
        </w:rPr>
        <w:t>委托</w:t>
      </w:r>
      <w:r>
        <w:rPr>
          <w:rFonts w:hint="eastAsia" w:ascii="方正仿宋_GBK" w:hAnsi="方正仿宋_GBK" w:eastAsia="方正仿宋_GBK" w:cs="方正仿宋_GBK"/>
          <w:color w:val="auto"/>
          <w:sz w:val="28"/>
          <w:szCs w:val="28"/>
          <w:highlight w:val="none"/>
        </w:rPr>
        <w:t>代理人：（</w:t>
      </w:r>
      <w:r>
        <w:rPr>
          <w:rFonts w:hint="eastAsia" w:ascii="方正仿宋_GBK" w:hAnsi="方正仿宋_GBK" w:eastAsia="方正仿宋_GBK" w:cs="方正仿宋_GBK"/>
          <w:color w:val="auto"/>
          <w:sz w:val="28"/>
          <w:szCs w:val="28"/>
          <w:highlight w:val="none"/>
          <w:lang w:val="en-US" w:eastAsia="zh-CN"/>
        </w:rPr>
        <w:t>签字</w:t>
      </w:r>
      <w:r>
        <w:rPr>
          <w:rFonts w:hint="eastAsia" w:ascii="方正仿宋_GBK" w:hAnsi="方正仿宋_GBK" w:eastAsia="方正仿宋_GBK" w:cs="方正仿宋_GBK"/>
          <w:color w:val="auto"/>
          <w:sz w:val="28"/>
          <w:szCs w:val="28"/>
          <w:highlight w:val="none"/>
        </w:rPr>
        <w:t xml:space="preserve">）            </w:t>
      </w:r>
    </w:p>
    <w:p>
      <w:pPr>
        <w:pStyle w:val="16"/>
        <w:spacing w:line="600" w:lineRule="auto"/>
        <w:ind w:left="0" w:leftChars="0" w:firstLine="3920" w:firstLineChars="1400"/>
        <w:jc w:val="both"/>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 xml:space="preserve">日期：    </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月</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xml:space="preserve">  日</w:t>
      </w:r>
    </w:p>
    <w:p>
      <w:pPr>
        <w:tabs>
          <w:tab w:val="left" w:pos="6300"/>
        </w:tabs>
        <w:snapToGrid w:val="0"/>
        <w:spacing w:line="360" w:lineRule="auto"/>
        <w:jc w:val="left"/>
        <w:rPr>
          <w:rFonts w:hint="eastAsia" w:ascii="方正仿宋_GBK" w:hAnsi="方正仿宋_GBK" w:eastAsia="方正仿宋_GBK" w:cs="方正仿宋_GBK"/>
          <w:color w:val="auto"/>
          <w:sz w:val="28"/>
          <w:szCs w:val="28"/>
          <w:highlight w:val="none"/>
        </w:rPr>
      </w:pPr>
    </w:p>
    <w:p>
      <w:pPr>
        <w:pStyle w:val="3"/>
        <w:snapToGrid w:val="0"/>
        <w:spacing w:before="0" w:after="0" w:line="360" w:lineRule="auto"/>
        <w:ind w:left="3107" w:hanging="3107"/>
        <w:rPr>
          <w:rFonts w:hint="eastAsia" w:ascii="方正仿宋_GBK" w:hAnsi="方正仿宋_GBK" w:eastAsia="方正仿宋_GBK" w:cs="方正仿宋_GBK"/>
          <w:snapToGrid w:val="0"/>
          <w:color w:val="auto"/>
          <w:kern w:val="0"/>
          <w:sz w:val="28"/>
          <w:szCs w:val="28"/>
          <w:highlight w:val="none"/>
        </w:rPr>
      </w:pPr>
      <w:r>
        <w:rPr>
          <w:rFonts w:hint="eastAsia" w:ascii="方正仿宋_GBK" w:hAnsi="方正仿宋_GBK" w:eastAsia="方正仿宋_GBK" w:cs="方正仿宋_GBK"/>
          <w:color w:val="auto"/>
          <w:sz w:val="28"/>
          <w:szCs w:val="28"/>
          <w:highlight w:val="none"/>
        </w:rPr>
        <w:br w:type="page"/>
      </w:r>
      <w:bookmarkStart w:id="106" w:name="_Toc20972"/>
      <w:bookmarkStart w:id="107" w:name="_Toc22143"/>
      <w:bookmarkStart w:id="108" w:name="_Toc25890"/>
      <w:bookmarkStart w:id="109" w:name="_Toc31656"/>
      <w:r>
        <w:rPr>
          <w:rFonts w:hint="eastAsia" w:ascii="方正仿宋_GBK" w:hAnsi="方正仿宋_GBK" w:eastAsia="方正仿宋_GBK" w:cs="方正仿宋_GBK"/>
          <w:snapToGrid w:val="0"/>
          <w:color w:val="auto"/>
          <w:kern w:val="0"/>
          <w:sz w:val="28"/>
          <w:szCs w:val="28"/>
          <w:highlight w:val="none"/>
        </w:rPr>
        <w:t>附件</w:t>
      </w:r>
      <w:r>
        <w:rPr>
          <w:rFonts w:hint="eastAsia" w:ascii="方正仿宋_GBK" w:hAnsi="方正仿宋_GBK" w:eastAsia="方正仿宋_GBK" w:cs="方正仿宋_GBK"/>
          <w:snapToGrid w:val="0"/>
          <w:color w:val="auto"/>
          <w:kern w:val="0"/>
          <w:sz w:val="28"/>
          <w:szCs w:val="28"/>
          <w:highlight w:val="none"/>
          <w:lang w:val="en-US" w:eastAsia="zh-CN"/>
        </w:rPr>
        <w:t>六</w:t>
      </w:r>
      <w:r>
        <w:rPr>
          <w:rFonts w:hint="eastAsia" w:ascii="方正仿宋_GBK" w:hAnsi="方正仿宋_GBK" w:eastAsia="方正仿宋_GBK" w:cs="方正仿宋_GBK"/>
          <w:snapToGrid w:val="0"/>
          <w:color w:val="auto"/>
          <w:kern w:val="0"/>
          <w:sz w:val="28"/>
          <w:szCs w:val="28"/>
          <w:highlight w:val="none"/>
        </w:rPr>
        <w:t>：授权委托书</w:t>
      </w:r>
      <w:bookmarkEnd w:id="106"/>
      <w:bookmarkEnd w:id="107"/>
      <w:bookmarkEnd w:id="108"/>
      <w:bookmarkEnd w:id="109"/>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授权委托书</w:t>
      </w: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方正仿宋_GBK" w:hAnsi="方正仿宋_GBK" w:eastAsia="方正仿宋_GBK" w:cs="方正仿宋_GBK"/>
          <w:b/>
          <w:bCs/>
          <w:color w:val="auto"/>
          <w:sz w:val="24"/>
          <w:szCs w:val="24"/>
          <w:highlight w:val="none"/>
        </w:rPr>
      </w:pP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本人</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（姓名）系</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color w:val="auto"/>
          <w:spacing w:val="-1"/>
          <w:kern w:val="0"/>
          <w:sz w:val="24"/>
          <w:szCs w:val="24"/>
          <w:highlight w:val="none"/>
          <w:lang w:eastAsia="zh-CN"/>
        </w:rPr>
        <w:t>参选人</w:t>
      </w:r>
      <w:r>
        <w:rPr>
          <w:rFonts w:hint="eastAsia" w:ascii="方正仿宋_GBK" w:hAnsi="方正仿宋_GBK" w:eastAsia="方正仿宋_GBK" w:cs="方正仿宋_GBK"/>
          <w:color w:val="auto"/>
          <w:kern w:val="0"/>
          <w:sz w:val="24"/>
          <w:szCs w:val="24"/>
          <w:highlight w:val="none"/>
        </w:rPr>
        <w:t>名称</w:t>
      </w:r>
      <w:r>
        <w:rPr>
          <w:rFonts w:hint="eastAsia" w:ascii="方正仿宋_GBK" w:hAnsi="方正仿宋_GBK" w:eastAsia="方正仿宋_GBK" w:cs="方正仿宋_GBK"/>
          <w:color w:val="auto"/>
          <w:spacing w:val="1"/>
          <w:kern w:val="0"/>
          <w:sz w:val="24"/>
          <w:szCs w:val="24"/>
          <w:highlight w:val="none"/>
        </w:rPr>
        <w:t>）</w:t>
      </w:r>
      <w:r>
        <w:rPr>
          <w:rFonts w:hint="eastAsia" w:ascii="方正仿宋_GBK" w:hAnsi="方正仿宋_GBK" w:eastAsia="方正仿宋_GBK" w:cs="方正仿宋_GBK"/>
          <w:color w:val="auto"/>
          <w:kern w:val="0"/>
          <w:sz w:val="24"/>
          <w:szCs w:val="24"/>
          <w:highlight w:val="none"/>
        </w:rPr>
        <w:t>的法定代</w:t>
      </w:r>
      <w:r>
        <w:rPr>
          <w:rFonts w:hint="eastAsia" w:ascii="方正仿宋_GBK" w:hAnsi="方正仿宋_GBK" w:eastAsia="方正仿宋_GBK" w:cs="方正仿宋_GBK"/>
          <w:color w:val="auto"/>
          <w:spacing w:val="1"/>
          <w:kern w:val="0"/>
          <w:sz w:val="24"/>
          <w:szCs w:val="24"/>
          <w:highlight w:val="none"/>
        </w:rPr>
        <w:t>表</w:t>
      </w:r>
      <w:r>
        <w:rPr>
          <w:rFonts w:hint="eastAsia" w:ascii="方正仿宋_GBK" w:hAnsi="方正仿宋_GBK" w:eastAsia="方正仿宋_GBK" w:cs="方正仿宋_GBK"/>
          <w:color w:val="auto"/>
          <w:kern w:val="0"/>
          <w:sz w:val="24"/>
          <w:szCs w:val="24"/>
          <w:highlight w:val="none"/>
        </w:rPr>
        <w:t>人，现委托</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（姓名）为我方代理人。代理人根据授权，以我方名义签署、澄清、说明、补正、递交、撤回、修改</w:t>
      </w:r>
      <w:r>
        <w:rPr>
          <w:rFonts w:hint="eastAsia" w:ascii="方正仿宋_GBK" w:hAnsi="方正仿宋_GBK" w:eastAsia="方正仿宋_GBK" w:cs="方正仿宋_GBK"/>
          <w:color w:val="auto"/>
          <w:kern w:val="0"/>
          <w:sz w:val="24"/>
          <w:szCs w:val="24"/>
          <w:highlight w:val="none"/>
          <w:u w:val="single"/>
        </w:rPr>
        <w:tab/>
      </w:r>
      <w:r>
        <w:rPr>
          <w:rFonts w:hint="eastAsia" w:ascii="方正仿宋_GBK" w:hAnsi="方正仿宋_GBK" w:eastAsia="方正仿宋_GBK" w:cs="方正仿宋_GBK"/>
          <w:color w:val="auto"/>
          <w:kern w:val="0"/>
          <w:sz w:val="24"/>
          <w:szCs w:val="24"/>
          <w:highlight w:val="none"/>
        </w:rPr>
        <w:t>（项</w:t>
      </w:r>
      <w:r>
        <w:rPr>
          <w:rFonts w:hint="eastAsia" w:ascii="方正仿宋_GBK" w:hAnsi="方正仿宋_GBK" w:eastAsia="方正仿宋_GBK" w:cs="方正仿宋_GBK"/>
          <w:color w:val="auto"/>
          <w:spacing w:val="-1"/>
          <w:kern w:val="0"/>
          <w:sz w:val="24"/>
          <w:szCs w:val="24"/>
          <w:highlight w:val="none"/>
        </w:rPr>
        <w:t>目</w:t>
      </w:r>
      <w:r>
        <w:rPr>
          <w:rFonts w:hint="eastAsia" w:ascii="方正仿宋_GBK" w:hAnsi="方正仿宋_GBK" w:eastAsia="方正仿宋_GBK" w:cs="方正仿宋_GBK"/>
          <w:color w:val="auto"/>
          <w:kern w:val="0"/>
          <w:sz w:val="24"/>
          <w:szCs w:val="24"/>
          <w:highlight w:val="none"/>
        </w:rPr>
        <w:t>名称）参选文件、签订合同和处理有关事宜，其法律后果由我方承担。</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委托</w:t>
      </w:r>
      <w:r>
        <w:rPr>
          <w:rFonts w:hint="eastAsia" w:ascii="方正仿宋_GBK" w:hAnsi="方正仿宋_GBK" w:eastAsia="方正仿宋_GBK" w:cs="方正仿宋_GBK"/>
          <w:color w:val="auto"/>
          <w:spacing w:val="-1"/>
          <w:kern w:val="0"/>
          <w:sz w:val="24"/>
          <w:szCs w:val="24"/>
          <w:highlight w:val="none"/>
        </w:rPr>
        <w:t>期</w:t>
      </w:r>
      <w:r>
        <w:rPr>
          <w:rFonts w:hint="eastAsia" w:ascii="方正仿宋_GBK" w:hAnsi="方正仿宋_GBK" w:eastAsia="方正仿宋_GBK" w:cs="方正仿宋_GBK"/>
          <w:color w:val="auto"/>
          <w:kern w:val="0"/>
          <w:sz w:val="24"/>
          <w:szCs w:val="24"/>
          <w:highlight w:val="none"/>
        </w:rPr>
        <w:t>限：</w:t>
      </w:r>
      <w:r>
        <w:rPr>
          <w:rFonts w:hint="eastAsia" w:ascii="方正仿宋_GBK" w:hAnsi="方正仿宋_GBK" w:eastAsia="方正仿宋_GBK" w:cs="方正仿宋_GBK"/>
          <w:color w:val="auto"/>
          <w:kern w:val="0"/>
          <w:sz w:val="24"/>
          <w:szCs w:val="24"/>
          <w:highlight w:val="none"/>
          <w:lang w:val="en-US" w:eastAsia="zh-CN"/>
        </w:rPr>
        <w:t xml:space="preserve"> 自递交比选文件时起，到项目竣工验收后止</w:t>
      </w:r>
      <w:r>
        <w:rPr>
          <w:rFonts w:hint="eastAsia" w:ascii="方正仿宋_GBK" w:hAnsi="方正仿宋_GBK" w:eastAsia="方正仿宋_GBK" w:cs="方正仿宋_GBK"/>
          <w:color w:val="auto"/>
          <w:kern w:val="0"/>
          <w:sz w:val="24"/>
          <w:szCs w:val="24"/>
          <w:highlight w:val="none"/>
        </w:rPr>
        <w:t>。</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代理人无转委托权。</w:t>
      </w:r>
    </w:p>
    <w:p>
      <w:pPr>
        <w:tabs>
          <w:tab w:val="left" w:pos="1680"/>
          <w:tab w:val="left" w:pos="4215"/>
          <w:tab w:val="left" w:pos="4305"/>
          <w:tab w:val="left" w:pos="8000"/>
        </w:tabs>
        <w:autoSpaceDE w:val="0"/>
        <w:autoSpaceDN w:val="0"/>
        <w:adjustRightInd w:val="0"/>
        <w:snapToGrid w:val="0"/>
        <w:spacing w:line="360" w:lineRule="auto"/>
        <w:ind w:firstLine="420"/>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附：法定代表人身份证明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p>
      <w:pPr>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lang w:val="en-US" w:eastAsia="zh-CN"/>
        </w:rPr>
      </w:pPr>
      <w:r>
        <w:rPr>
          <w:rFonts w:hint="eastAsia" w:ascii="方正仿宋_GBK" w:hAnsi="方正仿宋_GBK" w:eastAsia="方正仿宋_GBK" w:cs="方正仿宋_GBK"/>
          <w:color w:val="auto"/>
          <w:kern w:val="0"/>
          <w:sz w:val="24"/>
          <w:szCs w:val="24"/>
          <w:highlight w:val="none"/>
          <w:lang w:val="en-US" w:eastAsia="zh-CN"/>
        </w:rPr>
        <w:t xml:space="preserve">        </w:t>
      </w:r>
      <w:r>
        <w:rPr>
          <w:rFonts w:hint="eastAsia" w:ascii="方正仿宋_GBK" w:hAnsi="方正仿宋_GBK" w:eastAsia="方正仿宋_GBK" w:cs="方正仿宋_GBK"/>
          <w:color w:val="auto"/>
          <w:kern w:val="0"/>
          <w:sz w:val="24"/>
          <w:szCs w:val="24"/>
          <w:highlight w:val="none"/>
        </w:rPr>
        <w:t>委托代理人身份证明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8"/>
        <w:gridCol w:w="4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4518" w:type="dxa"/>
          </w:tcPr>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vertAlign w:val="baseline"/>
              </w:rPr>
            </w:pPr>
            <w:r>
              <w:rPr>
                <w:rFonts w:hint="eastAsia" w:ascii="方正仿宋_GBK" w:hAnsi="方正仿宋_GBK" w:eastAsia="方正仿宋_GBK" w:cs="方正仿宋_GBK"/>
                <w:color w:val="auto"/>
                <w:kern w:val="0"/>
                <w:sz w:val="24"/>
                <w:szCs w:val="24"/>
                <w:highlight w:val="none"/>
              </w:rPr>
              <w:t>法定代表人身份证明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c>
        <w:tc>
          <w:tcPr>
            <w:tcW w:w="4518" w:type="dxa"/>
          </w:tcPr>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vertAlign w:val="baseline"/>
              </w:rPr>
            </w:pPr>
            <w:r>
              <w:rPr>
                <w:rFonts w:hint="eastAsia" w:ascii="方正仿宋_GBK" w:hAnsi="方正仿宋_GBK" w:eastAsia="方正仿宋_GBK" w:cs="方正仿宋_GBK"/>
                <w:color w:val="auto"/>
                <w:kern w:val="0"/>
                <w:sz w:val="24"/>
                <w:szCs w:val="24"/>
                <w:highlight w:val="none"/>
              </w:rPr>
              <w:t>委托代理人身份证明</w:t>
            </w:r>
            <w:r>
              <w:rPr>
                <w:rFonts w:hint="eastAsia" w:ascii="方正仿宋_GBK" w:hAnsi="方正仿宋_GBK" w:eastAsia="方正仿宋_GBK" w:cs="方正仿宋_GBK"/>
                <w:color w:val="auto"/>
                <w:kern w:val="0"/>
                <w:sz w:val="24"/>
                <w:szCs w:val="24"/>
                <w:highlight w:val="none"/>
                <w:lang w:eastAsia="zh-CN"/>
              </w:rPr>
              <w:t>（</w:t>
            </w:r>
            <w:r>
              <w:rPr>
                <w:rFonts w:hint="eastAsia" w:ascii="方正仿宋_GBK" w:hAnsi="方正仿宋_GBK" w:eastAsia="方正仿宋_GBK" w:cs="方正仿宋_GBK"/>
                <w:color w:val="auto"/>
                <w:kern w:val="0"/>
                <w:sz w:val="24"/>
                <w:szCs w:val="24"/>
                <w:highlight w:val="none"/>
                <w:lang w:val="en-US" w:eastAsia="zh-CN"/>
              </w:rPr>
              <w:t>身份证正反面</w:t>
            </w:r>
            <w:r>
              <w:rPr>
                <w:rFonts w:hint="eastAsia" w:ascii="方正仿宋_GBK" w:hAnsi="方正仿宋_GBK" w:eastAsia="方正仿宋_GBK" w:cs="方正仿宋_GBK"/>
                <w:color w:val="auto"/>
                <w:kern w:val="0"/>
                <w:sz w:val="24"/>
                <w:szCs w:val="24"/>
                <w:highlight w:val="none"/>
                <w:lang w:eastAsia="zh-CN"/>
              </w:rPr>
              <w:t>）</w:t>
            </w:r>
          </w:p>
        </w:tc>
      </w:tr>
    </w:tbl>
    <w:p>
      <w:pPr>
        <w:tabs>
          <w:tab w:val="left" w:pos="4200"/>
          <w:tab w:val="left" w:pos="4620"/>
        </w:tabs>
        <w:autoSpaceDE w:val="0"/>
        <w:autoSpaceDN w:val="0"/>
        <w:adjustRightInd w:val="0"/>
        <w:snapToGrid w:val="0"/>
        <w:spacing w:line="360" w:lineRule="auto"/>
        <w:jc w:val="left"/>
        <w:rPr>
          <w:rFonts w:hint="eastAsia" w:ascii="方正仿宋_GBK" w:hAnsi="方正仿宋_GBK" w:eastAsia="方正仿宋_GBK" w:cs="方正仿宋_GBK"/>
          <w:color w:val="auto"/>
          <w:kern w:val="0"/>
          <w:sz w:val="24"/>
          <w:szCs w:val="24"/>
          <w:highlight w:val="none"/>
        </w:rPr>
      </w:pPr>
    </w:p>
    <w:p>
      <w:pPr>
        <w:tabs>
          <w:tab w:val="left" w:pos="4200"/>
          <w:tab w:val="left" w:pos="4620"/>
        </w:tabs>
        <w:autoSpaceDE w:val="0"/>
        <w:autoSpaceDN w:val="0"/>
        <w:adjustRightInd w:val="0"/>
        <w:snapToGrid w:val="0"/>
        <w:spacing w:line="360" w:lineRule="auto"/>
        <w:ind w:firstLine="1694"/>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lang w:eastAsia="zh-CN"/>
        </w:rPr>
        <w:t>参选人</w:t>
      </w:r>
      <w:r>
        <w:rPr>
          <w:rFonts w:hint="eastAsia" w:ascii="方正仿宋_GBK" w:hAnsi="方正仿宋_GBK" w:eastAsia="方正仿宋_GBK" w:cs="方正仿宋_GBK"/>
          <w:color w:val="auto"/>
          <w:kern w:val="0"/>
          <w:sz w:val="22"/>
          <w:szCs w:val="22"/>
          <w:highlight w:val="none"/>
        </w:rPr>
        <w:t>：（</w:t>
      </w:r>
      <w:r>
        <w:rPr>
          <w:rFonts w:hint="eastAsia" w:ascii="方正仿宋_GBK" w:hAnsi="方正仿宋_GBK" w:eastAsia="方正仿宋_GBK" w:cs="方正仿宋_GBK"/>
          <w:color w:val="auto"/>
          <w:spacing w:val="-1"/>
          <w:kern w:val="0"/>
          <w:sz w:val="22"/>
          <w:szCs w:val="22"/>
          <w:highlight w:val="none"/>
        </w:rPr>
        <w:t>盖</w:t>
      </w:r>
      <w:r>
        <w:rPr>
          <w:rFonts w:hint="eastAsia" w:ascii="方正仿宋_GBK" w:hAnsi="方正仿宋_GBK" w:eastAsia="方正仿宋_GBK" w:cs="方正仿宋_GBK"/>
          <w:color w:val="auto"/>
          <w:kern w:val="0"/>
          <w:sz w:val="22"/>
          <w:szCs w:val="22"/>
          <w:highlight w:val="none"/>
        </w:rPr>
        <w:t>单位公章）</w:t>
      </w:r>
    </w:p>
    <w:p>
      <w:pPr>
        <w:tabs>
          <w:tab w:val="left" w:pos="630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法定代表人：</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rPr>
        <w:t>（签字）</w:t>
      </w:r>
    </w:p>
    <w:p>
      <w:pPr>
        <w:tabs>
          <w:tab w:val="left" w:pos="526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lang w:val="en-US" w:eastAsia="zh-CN"/>
        </w:rPr>
      </w:pPr>
      <w:r>
        <w:rPr>
          <w:rFonts w:hint="eastAsia" w:ascii="方正仿宋_GBK" w:hAnsi="方正仿宋_GBK" w:eastAsia="方正仿宋_GBK" w:cs="方正仿宋_GBK"/>
          <w:color w:val="auto"/>
          <w:kern w:val="0"/>
          <w:sz w:val="22"/>
          <w:szCs w:val="22"/>
          <w:highlight w:val="none"/>
        </w:rPr>
        <w:t>身份证号码：</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lang w:val="en-US" w:eastAsia="zh-CN"/>
        </w:rPr>
        <w:t xml:space="preserve">    </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lang w:val="en-US" w:eastAsia="zh-CN"/>
        </w:rPr>
        <w:t xml:space="preserve"> </w:t>
      </w:r>
      <w:r>
        <w:rPr>
          <w:rFonts w:hint="eastAsia" w:ascii="方正仿宋_GBK" w:hAnsi="方正仿宋_GBK" w:eastAsia="方正仿宋_GBK" w:cs="方正仿宋_GBK"/>
          <w:color w:val="auto"/>
          <w:kern w:val="0"/>
          <w:sz w:val="22"/>
          <w:szCs w:val="22"/>
          <w:highlight w:val="none"/>
          <w:u w:val="single"/>
          <w:lang w:val="en-US" w:eastAsia="zh-CN"/>
        </w:rPr>
        <w:t xml:space="preserve"> </w:t>
      </w:r>
    </w:p>
    <w:p>
      <w:pPr>
        <w:tabs>
          <w:tab w:val="left" w:pos="6720"/>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委托代理人：</w:t>
      </w:r>
      <w:r>
        <w:rPr>
          <w:rFonts w:hint="eastAsia" w:ascii="方正仿宋_GBK" w:hAnsi="方正仿宋_GBK" w:eastAsia="方正仿宋_GBK" w:cs="方正仿宋_GBK"/>
          <w:color w:val="auto"/>
          <w:kern w:val="0"/>
          <w:sz w:val="22"/>
          <w:szCs w:val="22"/>
          <w:highlight w:val="none"/>
          <w:u w:val="single"/>
          <w:lang w:val="en-US" w:eastAsia="zh-CN"/>
        </w:rPr>
        <w:t xml:space="preserve">                       </w:t>
      </w:r>
      <w:r>
        <w:rPr>
          <w:rFonts w:hint="eastAsia" w:ascii="方正仿宋_GBK" w:hAnsi="方正仿宋_GBK" w:eastAsia="方正仿宋_GBK" w:cs="方正仿宋_GBK"/>
          <w:color w:val="auto"/>
          <w:kern w:val="0"/>
          <w:sz w:val="22"/>
          <w:szCs w:val="22"/>
          <w:highlight w:val="none"/>
        </w:rPr>
        <w:t>（签</w:t>
      </w:r>
      <w:r>
        <w:rPr>
          <w:rFonts w:hint="eastAsia" w:ascii="方正仿宋_GBK" w:hAnsi="方正仿宋_GBK" w:eastAsia="方正仿宋_GBK" w:cs="方正仿宋_GBK"/>
          <w:color w:val="auto"/>
          <w:spacing w:val="-1"/>
          <w:kern w:val="0"/>
          <w:sz w:val="22"/>
          <w:szCs w:val="22"/>
          <w:highlight w:val="none"/>
        </w:rPr>
        <w:t>字</w:t>
      </w:r>
      <w:r>
        <w:rPr>
          <w:rFonts w:hint="eastAsia" w:ascii="方正仿宋_GBK" w:hAnsi="方正仿宋_GBK" w:eastAsia="方正仿宋_GBK" w:cs="方正仿宋_GBK"/>
          <w:color w:val="auto"/>
          <w:kern w:val="0"/>
          <w:sz w:val="22"/>
          <w:szCs w:val="22"/>
          <w:highlight w:val="none"/>
        </w:rPr>
        <w:t>）</w:t>
      </w:r>
    </w:p>
    <w:p>
      <w:pPr>
        <w:tabs>
          <w:tab w:val="left" w:pos="6832"/>
        </w:tabs>
        <w:autoSpaceDE w:val="0"/>
        <w:autoSpaceDN w:val="0"/>
        <w:adjustRightInd w:val="0"/>
        <w:snapToGrid w:val="0"/>
        <w:spacing w:line="360" w:lineRule="auto"/>
        <w:ind w:firstLine="1680"/>
        <w:jc w:val="left"/>
        <w:rPr>
          <w:rFonts w:hint="eastAsia" w:ascii="方正仿宋_GBK" w:hAnsi="方正仿宋_GBK" w:eastAsia="方正仿宋_GBK" w:cs="方正仿宋_GBK"/>
          <w:color w:val="auto"/>
          <w:kern w:val="0"/>
          <w:sz w:val="22"/>
          <w:szCs w:val="22"/>
          <w:highlight w:val="none"/>
        </w:rPr>
      </w:pPr>
      <w:r>
        <w:rPr>
          <w:rFonts w:hint="eastAsia" w:ascii="方正仿宋_GBK" w:hAnsi="方正仿宋_GBK" w:eastAsia="方正仿宋_GBK" w:cs="方正仿宋_GBK"/>
          <w:color w:val="auto"/>
          <w:kern w:val="0"/>
          <w:sz w:val="22"/>
          <w:szCs w:val="22"/>
          <w:highlight w:val="none"/>
        </w:rPr>
        <w:t>身份证号码：</w:t>
      </w:r>
    </w:p>
    <w:p>
      <w:pPr>
        <w:tabs>
          <w:tab w:val="left" w:pos="4005"/>
          <w:tab w:val="left" w:pos="4100"/>
          <w:tab w:val="left" w:pos="5040"/>
        </w:tabs>
        <w:autoSpaceDE w:val="0"/>
        <w:autoSpaceDN w:val="0"/>
        <w:adjustRightInd w:val="0"/>
        <w:snapToGrid w:val="0"/>
        <w:spacing w:line="360" w:lineRule="auto"/>
        <w:ind w:firstLine="3780"/>
        <w:jc w:val="left"/>
        <w:rPr>
          <w:rFonts w:hint="eastAsia" w:ascii="方正仿宋_GBK" w:hAnsi="方正仿宋_GBK" w:eastAsia="方正仿宋_GBK" w:cs="方正仿宋_GBK"/>
          <w:color w:val="auto"/>
          <w:kern w:val="0"/>
          <w:sz w:val="22"/>
          <w:szCs w:val="22"/>
          <w:highlight w:val="none"/>
          <w:u w:val="single"/>
        </w:rPr>
      </w:pPr>
    </w:p>
    <w:p>
      <w:pPr>
        <w:tabs>
          <w:tab w:val="left" w:pos="4005"/>
          <w:tab w:val="left" w:pos="4100"/>
          <w:tab w:val="left" w:pos="5040"/>
        </w:tabs>
        <w:autoSpaceDE w:val="0"/>
        <w:autoSpaceDN w:val="0"/>
        <w:adjustRightInd w:val="0"/>
        <w:snapToGrid w:val="0"/>
        <w:spacing w:line="360" w:lineRule="auto"/>
        <w:ind w:firstLine="3780"/>
        <w:jc w:val="left"/>
        <w:rPr>
          <w:rFonts w:hint="eastAsia" w:ascii="方正仿宋_GBK" w:hAnsi="方正仿宋_GBK" w:eastAsia="方正仿宋_GBK" w:cs="方正仿宋_GBK"/>
          <w:highlight w:val="none"/>
        </w:rPr>
      </w:pPr>
      <w:bookmarkStart w:id="110" w:name="_GoBack"/>
      <w:bookmarkEnd w:id="110"/>
      <w:r>
        <w:rPr>
          <w:rFonts w:hint="eastAsia" w:ascii="方正仿宋_GBK" w:hAnsi="方正仿宋_GBK" w:eastAsia="方正仿宋_GBK" w:cs="方正仿宋_GBK"/>
          <w:color w:val="auto"/>
          <w:kern w:val="0"/>
          <w:sz w:val="22"/>
          <w:szCs w:val="22"/>
          <w:highlight w:val="none"/>
          <w:u w:val="single"/>
          <w:lang w:val="en-US" w:eastAsia="zh-CN"/>
        </w:rPr>
        <w:t xml:space="preserve"> 2022</w:t>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年</w:t>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月</w:t>
      </w:r>
      <w:r>
        <w:rPr>
          <w:rFonts w:hint="eastAsia" w:ascii="方正仿宋_GBK" w:hAnsi="方正仿宋_GBK" w:eastAsia="方正仿宋_GBK" w:cs="方正仿宋_GBK"/>
          <w:color w:val="auto"/>
          <w:kern w:val="0"/>
          <w:sz w:val="22"/>
          <w:szCs w:val="22"/>
          <w:highlight w:val="none"/>
          <w:u w:val="single"/>
        </w:rPr>
        <w:tab/>
      </w:r>
      <w:r>
        <w:rPr>
          <w:rFonts w:hint="eastAsia" w:ascii="方正仿宋_GBK" w:hAnsi="方正仿宋_GBK" w:eastAsia="方正仿宋_GBK" w:cs="方正仿宋_GBK"/>
          <w:color w:val="auto"/>
          <w:kern w:val="0"/>
          <w:sz w:val="22"/>
          <w:szCs w:val="22"/>
          <w:highlight w:val="none"/>
          <w:u w:val="single"/>
        </w:rPr>
        <w:t xml:space="preserve"> </w:t>
      </w:r>
      <w:r>
        <w:rPr>
          <w:rFonts w:hint="eastAsia" w:ascii="方正仿宋_GBK" w:hAnsi="方正仿宋_GBK" w:eastAsia="方正仿宋_GBK" w:cs="方正仿宋_GBK"/>
          <w:color w:val="auto"/>
          <w:kern w:val="0"/>
          <w:sz w:val="22"/>
          <w:szCs w:val="22"/>
          <w:highlight w:val="none"/>
        </w:rPr>
        <w:t>日</w:t>
      </w:r>
    </w:p>
    <w:sectPr>
      <w:footerReference r:id="rId8" w:type="default"/>
      <w:pgSz w:w="11906" w:h="16838"/>
      <w:pgMar w:top="1021" w:right="1466" w:bottom="623" w:left="162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amp;#23435;&amp;#20307;">
    <w:altName w:val="Times New Roman"/>
    <w:panose1 w:val="00000000000000000000"/>
    <w:charset w:val="00"/>
    <w:family w:val="roman"/>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宋体 ! important">
    <w:altName w:val="宋体"/>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rPr>
        <w:rFonts w:hint="default" w:ascii="仿宋" w:hAnsi="仿宋" w:eastAsia="仿宋" w:cs="仿宋"/>
        <w:lang w:val="en-US"/>
      </w:rPr>
    </w:pPr>
    <w:r>
      <w:rPr>
        <w:rFonts w:hint="eastAsia" w:ascii="仿宋" w:hAnsi="仿宋" w:eastAsia="仿宋" w:cs="仿宋"/>
      </w:rPr>
      <w:t>重庆机电工程技术有限公司</w:t>
    </w:r>
    <w:r>
      <w:rPr>
        <w:rFonts w:hint="eastAsia" w:ascii="仿宋" w:hAnsi="仿宋" w:eastAsia="仿宋" w:cs="仿宋"/>
        <w:lang w:val="en-US" w:eastAsia="zh-CN"/>
      </w:rPr>
      <w:t xml:space="preserve">            9号线</w:t>
    </w:r>
    <w:r>
      <w:rPr>
        <w:rFonts w:hint="eastAsia" w:ascii="仿宋" w:hAnsi="仿宋" w:eastAsia="仿宋" w:cs="仿宋"/>
      </w:rPr>
      <w:t>二</w:t>
    </w:r>
    <w:r>
      <w:rPr>
        <w:rFonts w:hint="eastAsia" w:ascii="仿宋" w:hAnsi="仿宋" w:eastAsia="仿宋" w:cs="仿宋"/>
        <w:lang w:val="en-US" w:eastAsia="zh-CN"/>
      </w:rPr>
      <w:t>期</w:t>
    </w:r>
    <w:r>
      <w:rPr>
        <w:rFonts w:hint="eastAsia" w:ascii="仿宋" w:hAnsi="仿宋" w:eastAsia="仿宋" w:cs="仿宋"/>
      </w:rPr>
      <w:t>-风水电-比选-20</w:t>
    </w:r>
    <w:r>
      <w:rPr>
        <w:rFonts w:hint="eastAsia" w:ascii="仿宋" w:hAnsi="仿宋" w:eastAsia="仿宋" w:cs="仿宋"/>
        <w:lang w:val="en-US" w:eastAsia="zh-CN"/>
      </w:rPr>
      <w:t>22</w:t>
    </w:r>
    <w:r>
      <w:rPr>
        <w:rFonts w:hint="eastAsia" w:ascii="仿宋" w:hAnsi="仿宋" w:eastAsia="仿宋" w:cs="仿宋"/>
      </w:rPr>
      <w:t>-0</w:t>
    </w:r>
    <w:r>
      <w:rPr>
        <w:rFonts w:hint="eastAsia" w:ascii="仿宋" w:hAnsi="仿宋" w:eastAsia="仿宋" w:cs="仿宋"/>
        <w:lang w:val="en-US" w:eastAsia="zh-CN"/>
      </w:rPr>
      <w:t>1</w:t>
    </w:r>
    <w:r>
      <w:rPr>
        <w:rFonts w:hint="eastAsia" w:ascii="仿宋" w:hAnsi="仿宋" w:eastAsia="仿宋" w:cs="仿宋"/>
      </w:rPr>
      <w:t>-</w:t>
    </w:r>
    <w:r>
      <w:rPr>
        <w:rFonts w:hint="eastAsia" w:ascii="仿宋" w:hAnsi="仿宋" w:eastAsia="仿宋" w:cs="仿宋"/>
        <w:lang w:val="en-US" w:eastAsia="zh-CN"/>
      </w:rPr>
      <w:t>双面彩钢复合风管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D8F09B"/>
    <w:multiLevelType w:val="singleLevel"/>
    <w:tmpl w:val="D2D8F09B"/>
    <w:lvl w:ilvl="0" w:tentative="0">
      <w:start w:val="2"/>
      <w:numFmt w:val="chineseCounting"/>
      <w:suff w:val="space"/>
      <w:lvlText w:val="第%1部分"/>
      <w:lvlJc w:val="left"/>
      <w:rPr>
        <w:rFonts w:hint="eastAsia"/>
      </w:rPr>
    </w:lvl>
  </w:abstractNum>
  <w:abstractNum w:abstractNumId="1">
    <w:nsid w:val="F061351E"/>
    <w:multiLevelType w:val="singleLevel"/>
    <w:tmpl w:val="F061351E"/>
    <w:lvl w:ilvl="0" w:tentative="0">
      <w:start w:val="5"/>
      <w:numFmt w:val="chineseCounting"/>
      <w:suff w:val="space"/>
      <w:lvlText w:val="第%1部分"/>
      <w:lvlJc w:val="left"/>
      <w:rPr>
        <w:rFonts w:hint="eastAsia"/>
      </w:rPr>
    </w:lvl>
  </w:abstractNum>
  <w:abstractNum w:abstractNumId="2">
    <w:nsid w:val="00000015"/>
    <w:multiLevelType w:val="multilevel"/>
    <w:tmpl w:val="0000001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12"/>
      <w:suff w:val="nothing"/>
      <w:lvlText w:val="%1%2　"/>
      <w:lvlJc w:val="left"/>
      <w:pPr>
        <w:ind w:left="105" w:firstLine="0"/>
      </w:pPr>
      <w:rPr>
        <w:rFonts w:hint="eastAsia" w:ascii="黑体" w:hAnsi="Times New Roman" w:eastAsia="黑体"/>
        <w:b/>
        <w:i w:val="0"/>
        <w:sz w:val="21"/>
      </w:rPr>
    </w:lvl>
    <w:lvl w:ilvl="2" w:tentative="0">
      <w:start w:val="1"/>
      <w:numFmt w:val="decimal"/>
      <w:pStyle w:val="111"/>
      <w:suff w:val="nothing"/>
      <w:lvlText w:val="%1%2.%3　"/>
      <w:lvlJc w:val="left"/>
      <w:pPr>
        <w:ind w:left="0" w:firstLine="0"/>
      </w:pPr>
      <w:rPr>
        <w:rFonts w:hint="eastAsia" w:ascii="黑体" w:hAnsi="Times New Roman" w:eastAsia="黑体"/>
        <w:b w:val="0"/>
        <w:i w:val="0"/>
        <w:sz w:val="21"/>
      </w:rPr>
    </w:lvl>
    <w:lvl w:ilvl="3" w:tentative="0">
      <w:start w:val="1"/>
      <w:numFmt w:val="decimal"/>
      <w:pStyle w:val="11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0E951666"/>
    <w:multiLevelType w:val="multilevel"/>
    <w:tmpl w:val="0E951666"/>
    <w:lvl w:ilvl="0" w:tentative="0">
      <w:start w:val="1"/>
      <w:numFmt w:val="lowerLetter"/>
      <w:lvlText w:val="%1．"/>
      <w:lvlJc w:val="left"/>
      <w:pPr>
        <w:ind w:left="786" w:hanging="36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17EB8DE5"/>
    <w:multiLevelType w:val="singleLevel"/>
    <w:tmpl w:val="17EB8DE5"/>
    <w:lvl w:ilvl="0" w:tentative="0">
      <w:start w:val="9"/>
      <w:numFmt w:val="decimal"/>
      <w:suff w:val="space"/>
      <w:lvlText w:val="%1."/>
      <w:lvlJc w:val="left"/>
    </w:lvl>
  </w:abstractNum>
  <w:abstractNum w:abstractNumId="5">
    <w:nsid w:val="21EC0E0B"/>
    <w:multiLevelType w:val="singleLevel"/>
    <w:tmpl w:val="21EC0E0B"/>
    <w:lvl w:ilvl="0" w:tentative="0">
      <w:start w:val="1"/>
      <w:numFmt w:val="decimal"/>
      <w:lvlText w:val="(%1)"/>
      <w:lvlJc w:val="left"/>
      <w:pPr>
        <w:ind w:left="425" w:hanging="425"/>
      </w:pPr>
      <w:rPr>
        <w:rFonts w:hint="default"/>
      </w:rPr>
    </w:lvl>
  </w:abstractNum>
  <w:abstractNum w:abstractNumId="6">
    <w:nsid w:val="32DFD49F"/>
    <w:multiLevelType w:val="singleLevel"/>
    <w:tmpl w:val="32DFD49F"/>
    <w:lvl w:ilvl="0" w:tentative="0">
      <w:start w:val="12"/>
      <w:numFmt w:val="decimal"/>
      <w:lvlText w:val="%1."/>
      <w:lvlJc w:val="left"/>
      <w:pPr>
        <w:tabs>
          <w:tab w:val="left" w:pos="312"/>
        </w:tabs>
      </w:pPr>
    </w:lvl>
  </w:abstractNum>
  <w:abstractNum w:abstractNumId="7">
    <w:nsid w:val="330E4D33"/>
    <w:multiLevelType w:val="multilevel"/>
    <w:tmpl w:val="330E4D33"/>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3E0E6BBD"/>
    <w:multiLevelType w:val="singleLevel"/>
    <w:tmpl w:val="3E0E6BBD"/>
    <w:lvl w:ilvl="0" w:tentative="0">
      <w:start w:val="1"/>
      <w:numFmt w:val="decimal"/>
      <w:lvlText w:val="(%1)"/>
      <w:lvlJc w:val="left"/>
      <w:pPr>
        <w:ind w:left="425" w:hanging="425"/>
      </w:pPr>
      <w:rPr>
        <w:rFonts w:hint="default"/>
      </w:rPr>
    </w:lvl>
  </w:abstractNum>
  <w:abstractNum w:abstractNumId="9">
    <w:nsid w:val="42377A9A"/>
    <w:multiLevelType w:val="singleLevel"/>
    <w:tmpl w:val="42377A9A"/>
    <w:lvl w:ilvl="0" w:tentative="0">
      <w:start w:val="1"/>
      <w:numFmt w:val="decimal"/>
      <w:lvlText w:val="(%1)"/>
      <w:lvlJc w:val="left"/>
      <w:pPr>
        <w:ind w:left="425" w:hanging="425"/>
      </w:pPr>
      <w:rPr>
        <w:rFonts w:hint="default"/>
      </w:rPr>
    </w:lvl>
  </w:abstractNum>
  <w:abstractNum w:abstractNumId="10">
    <w:nsid w:val="484E0C54"/>
    <w:multiLevelType w:val="singleLevel"/>
    <w:tmpl w:val="484E0C54"/>
    <w:lvl w:ilvl="0" w:tentative="0">
      <w:start w:val="1"/>
      <w:numFmt w:val="decimal"/>
      <w:lvlText w:val="(%1)"/>
      <w:lvlJc w:val="left"/>
      <w:pPr>
        <w:ind w:left="425" w:hanging="425"/>
      </w:pPr>
      <w:rPr>
        <w:rFonts w:hint="default"/>
      </w:rPr>
    </w:lvl>
  </w:abstractNum>
  <w:abstractNum w:abstractNumId="11">
    <w:nsid w:val="4F588BC5"/>
    <w:multiLevelType w:val="singleLevel"/>
    <w:tmpl w:val="4F588BC5"/>
    <w:lvl w:ilvl="0" w:tentative="0">
      <w:start w:val="5"/>
      <w:numFmt w:val="decimal"/>
      <w:lvlText w:val="%1."/>
      <w:lvlJc w:val="left"/>
      <w:pPr>
        <w:tabs>
          <w:tab w:val="left" w:pos="312"/>
        </w:tabs>
      </w:pPr>
    </w:lvl>
  </w:abstractNum>
  <w:abstractNum w:abstractNumId="12">
    <w:nsid w:val="5207D645"/>
    <w:multiLevelType w:val="singleLevel"/>
    <w:tmpl w:val="5207D645"/>
    <w:lvl w:ilvl="0" w:tentative="0">
      <w:start w:val="1"/>
      <w:numFmt w:val="decimal"/>
      <w:lvlText w:val="(%1)"/>
      <w:lvlJc w:val="left"/>
      <w:pPr>
        <w:ind w:left="425" w:hanging="425"/>
      </w:pPr>
      <w:rPr>
        <w:rFonts w:hint="default"/>
      </w:rPr>
    </w:lvl>
  </w:abstractNum>
  <w:abstractNum w:abstractNumId="13">
    <w:nsid w:val="67463997"/>
    <w:multiLevelType w:val="singleLevel"/>
    <w:tmpl w:val="67463997"/>
    <w:lvl w:ilvl="0" w:tentative="0">
      <w:start w:val="1"/>
      <w:numFmt w:val="decimal"/>
      <w:lvlText w:val="(%1)"/>
      <w:lvlJc w:val="left"/>
      <w:pPr>
        <w:ind w:left="425" w:hanging="425"/>
      </w:pPr>
      <w:rPr>
        <w:rFonts w:hint="default"/>
      </w:rPr>
    </w:lvl>
  </w:abstractNum>
  <w:abstractNum w:abstractNumId="14">
    <w:nsid w:val="7FFA5C93"/>
    <w:multiLevelType w:val="singleLevel"/>
    <w:tmpl w:val="7FFA5C93"/>
    <w:lvl w:ilvl="0" w:tentative="0">
      <w:start w:val="1"/>
      <w:numFmt w:val="decimal"/>
      <w:lvlText w:val="(%1)"/>
      <w:lvlJc w:val="left"/>
      <w:pPr>
        <w:ind w:left="425" w:hanging="425"/>
      </w:pPr>
      <w:rPr>
        <w:rFonts w:hint="default"/>
      </w:rPr>
    </w:lvl>
  </w:abstractNum>
  <w:num w:numId="1">
    <w:abstractNumId w:val="2"/>
  </w:num>
  <w:num w:numId="2">
    <w:abstractNumId w:val="11"/>
  </w:num>
  <w:num w:numId="3">
    <w:abstractNumId w:val="6"/>
  </w:num>
  <w:num w:numId="4">
    <w:abstractNumId w:val="0"/>
  </w:num>
  <w:num w:numId="5">
    <w:abstractNumId w:val="12"/>
  </w:num>
  <w:num w:numId="6">
    <w:abstractNumId w:val="10"/>
  </w:num>
  <w:num w:numId="7">
    <w:abstractNumId w:val="13"/>
  </w:num>
  <w:num w:numId="8">
    <w:abstractNumId w:val="9"/>
  </w:num>
  <w:num w:numId="9">
    <w:abstractNumId w:val="8"/>
  </w:num>
  <w:num w:numId="10">
    <w:abstractNumId w:val="5"/>
  </w:num>
  <w:num w:numId="11">
    <w:abstractNumId w:val="4"/>
  </w:num>
  <w:num w:numId="12">
    <w:abstractNumId w:val="7"/>
  </w:num>
  <w:num w:numId="13">
    <w:abstractNumId w:val="3"/>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FAF"/>
    <w:rsid w:val="00002ED5"/>
    <w:rsid w:val="000143E9"/>
    <w:rsid w:val="00014E0E"/>
    <w:rsid w:val="00020357"/>
    <w:rsid w:val="00022251"/>
    <w:rsid w:val="000226FE"/>
    <w:rsid w:val="00023157"/>
    <w:rsid w:val="00024A1C"/>
    <w:rsid w:val="00033519"/>
    <w:rsid w:val="0003465F"/>
    <w:rsid w:val="000419CB"/>
    <w:rsid w:val="00047D8B"/>
    <w:rsid w:val="00051667"/>
    <w:rsid w:val="00051C84"/>
    <w:rsid w:val="00055B3F"/>
    <w:rsid w:val="00063604"/>
    <w:rsid w:val="00066E44"/>
    <w:rsid w:val="00070470"/>
    <w:rsid w:val="00086AD6"/>
    <w:rsid w:val="000918B7"/>
    <w:rsid w:val="00093F16"/>
    <w:rsid w:val="000955E3"/>
    <w:rsid w:val="00096F9A"/>
    <w:rsid w:val="000A03F1"/>
    <w:rsid w:val="000A1940"/>
    <w:rsid w:val="000A7CF4"/>
    <w:rsid w:val="000B44AC"/>
    <w:rsid w:val="000B501E"/>
    <w:rsid w:val="000B50FE"/>
    <w:rsid w:val="000B58F4"/>
    <w:rsid w:val="000B59AF"/>
    <w:rsid w:val="000C021E"/>
    <w:rsid w:val="000C2782"/>
    <w:rsid w:val="000C5847"/>
    <w:rsid w:val="000C7F25"/>
    <w:rsid w:val="000D1B80"/>
    <w:rsid w:val="000D43D2"/>
    <w:rsid w:val="000D7BF2"/>
    <w:rsid w:val="000E3F1A"/>
    <w:rsid w:val="000E7C9A"/>
    <w:rsid w:val="00100244"/>
    <w:rsid w:val="001009B8"/>
    <w:rsid w:val="00101969"/>
    <w:rsid w:val="0011023F"/>
    <w:rsid w:val="00112507"/>
    <w:rsid w:val="0011576B"/>
    <w:rsid w:val="00116696"/>
    <w:rsid w:val="00121D4B"/>
    <w:rsid w:val="00123137"/>
    <w:rsid w:val="00124FFC"/>
    <w:rsid w:val="00125891"/>
    <w:rsid w:val="00133F8C"/>
    <w:rsid w:val="00134346"/>
    <w:rsid w:val="00135D02"/>
    <w:rsid w:val="00135F51"/>
    <w:rsid w:val="00141F6D"/>
    <w:rsid w:val="00146972"/>
    <w:rsid w:val="00147D65"/>
    <w:rsid w:val="00147F6A"/>
    <w:rsid w:val="0015242B"/>
    <w:rsid w:val="0015302A"/>
    <w:rsid w:val="00154109"/>
    <w:rsid w:val="00163870"/>
    <w:rsid w:val="00165264"/>
    <w:rsid w:val="00166867"/>
    <w:rsid w:val="00167C69"/>
    <w:rsid w:val="0017056B"/>
    <w:rsid w:val="00171CBA"/>
    <w:rsid w:val="001776F6"/>
    <w:rsid w:val="00183478"/>
    <w:rsid w:val="00183EAE"/>
    <w:rsid w:val="00183FB8"/>
    <w:rsid w:val="0018493E"/>
    <w:rsid w:val="00185534"/>
    <w:rsid w:val="001861DA"/>
    <w:rsid w:val="00186C2C"/>
    <w:rsid w:val="00190261"/>
    <w:rsid w:val="001930EC"/>
    <w:rsid w:val="00194D30"/>
    <w:rsid w:val="00195C6F"/>
    <w:rsid w:val="001A6FA5"/>
    <w:rsid w:val="001A75A0"/>
    <w:rsid w:val="001A7986"/>
    <w:rsid w:val="001A79ED"/>
    <w:rsid w:val="001C0AC4"/>
    <w:rsid w:val="001C56A2"/>
    <w:rsid w:val="001C66A1"/>
    <w:rsid w:val="001D425B"/>
    <w:rsid w:val="001E1797"/>
    <w:rsid w:val="001E2B64"/>
    <w:rsid w:val="001F29A7"/>
    <w:rsid w:val="001F2BC7"/>
    <w:rsid w:val="001F4598"/>
    <w:rsid w:val="00203D07"/>
    <w:rsid w:val="00207C93"/>
    <w:rsid w:val="00210796"/>
    <w:rsid w:val="00211088"/>
    <w:rsid w:val="002113AC"/>
    <w:rsid w:val="00212171"/>
    <w:rsid w:val="00213E1E"/>
    <w:rsid w:val="00221D29"/>
    <w:rsid w:val="00222EF3"/>
    <w:rsid w:val="00224169"/>
    <w:rsid w:val="00225BDF"/>
    <w:rsid w:val="002334EE"/>
    <w:rsid w:val="00237FA9"/>
    <w:rsid w:val="00244AAA"/>
    <w:rsid w:val="0024769C"/>
    <w:rsid w:val="002479CB"/>
    <w:rsid w:val="002505C4"/>
    <w:rsid w:val="002522E5"/>
    <w:rsid w:val="00267014"/>
    <w:rsid w:val="002712C0"/>
    <w:rsid w:val="00280BCB"/>
    <w:rsid w:val="00280EA4"/>
    <w:rsid w:val="00281E15"/>
    <w:rsid w:val="00294C8D"/>
    <w:rsid w:val="00294FA1"/>
    <w:rsid w:val="00295353"/>
    <w:rsid w:val="002963BB"/>
    <w:rsid w:val="00296D10"/>
    <w:rsid w:val="002A3311"/>
    <w:rsid w:val="002A4BA3"/>
    <w:rsid w:val="002B0183"/>
    <w:rsid w:val="002B20DC"/>
    <w:rsid w:val="002B3DD5"/>
    <w:rsid w:val="002B643C"/>
    <w:rsid w:val="002B7EB5"/>
    <w:rsid w:val="002C3177"/>
    <w:rsid w:val="002D05B3"/>
    <w:rsid w:val="002D20C1"/>
    <w:rsid w:val="002D3081"/>
    <w:rsid w:val="002D39FE"/>
    <w:rsid w:val="002E0E29"/>
    <w:rsid w:val="002E1BF9"/>
    <w:rsid w:val="002E3720"/>
    <w:rsid w:val="002E3CBA"/>
    <w:rsid w:val="002E4CCE"/>
    <w:rsid w:val="002E66EE"/>
    <w:rsid w:val="002F0BAA"/>
    <w:rsid w:val="002F2099"/>
    <w:rsid w:val="003026D7"/>
    <w:rsid w:val="00307337"/>
    <w:rsid w:val="00314A1B"/>
    <w:rsid w:val="00316A04"/>
    <w:rsid w:val="00320F3D"/>
    <w:rsid w:val="00321A1B"/>
    <w:rsid w:val="00327485"/>
    <w:rsid w:val="00333271"/>
    <w:rsid w:val="00340435"/>
    <w:rsid w:val="0034152E"/>
    <w:rsid w:val="00344067"/>
    <w:rsid w:val="0035013A"/>
    <w:rsid w:val="003568FD"/>
    <w:rsid w:val="00362396"/>
    <w:rsid w:val="003635C5"/>
    <w:rsid w:val="00365462"/>
    <w:rsid w:val="00381263"/>
    <w:rsid w:val="003853DF"/>
    <w:rsid w:val="0038577C"/>
    <w:rsid w:val="00385896"/>
    <w:rsid w:val="00386C19"/>
    <w:rsid w:val="003870C3"/>
    <w:rsid w:val="003872FC"/>
    <w:rsid w:val="00390A17"/>
    <w:rsid w:val="0039229B"/>
    <w:rsid w:val="003952D4"/>
    <w:rsid w:val="003A0531"/>
    <w:rsid w:val="003A3034"/>
    <w:rsid w:val="003B1576"/>
    <w:rsid w:val="003B6079"/>
    <w:rsid w:val="003C6199"/>
    <w:rsid w:val="003D5B0F"/>
    <w:rsid w:val="003D7DD1"/>
    <w:rsid w:val="003E5EC0"/>
    <w:rsid w:val="003F123C"/>
    <w:rsid w:val="003F161B"/>
    <w:rsid w:val="003F1825"/>
    <w:rsid w:val="003F2580"/>
    <w:rsid w:val="003F2C8F"/>
    <w:rsid w:val="003F2D65"/>
    <w:rsid w:val="003F2FD9"/>
    <w:rsid w:val="00403E69"/>
    <w:rsid w:val="00422B0F"/>
    <w:rsid w:val="00426AA9"/>
    <w:rsid w:val="00426D94"/>
    <w:rsid w:val="00433D12"/>
    <w:rsid w:val="00436FAF"/>
    <w:rsid w:val="00437BDB"/>
    <w:rsid w:val="0045033A"/>
    <w:rsid w:val="0045477F"/>
    <w:rsid w:val="004557A3"/>
    <w:rsid w:val="00460247"/>
    <w:rsid w:val="00460F3D"/>
    <w:rsid w:val="00466C0D"/>
    <w:rsid w:val="004718FC"/>
    <w:rsid w:val="00474990"/>
    <w:rsid w:val="00474E16"/>
    <w:rsid w:val="0048337B"/>
    <w:rsid w:val="0049487D"/>
    <w:rsid w:val="00495D48"/>
    <w:rsid w:val="004962E5"/>
    <w:rsid w:val="004A5DC6"/>
    <w:rsid w:val="004B54A9"/>
    <w:rsid w:val="004C514B"/>
    <w:rsid w:val="004D60A0"/>
    <w:rsid w:val="004D6972"/>
    <w:rsid w:val="004D70DB"/>
    <w:rsid w:val="004E65C0"/>
    <w:rsid w:val="004E7302"/>
    <w:rsid w:val="004F1C22"/>
    <w:rsid w:val="004F5D8D"/>
    <w:rsid w:val="004F630B"/>
    <w:rsid w:val="0050681D"/>
    <w:rsid w:val="0051024C"/>
    <w:rsid w:val="00510988"/>
    <w:rsid w:val="00523D05"/>
    <w:rsid w:val="0053206E"/>
    <w:rsid w:val="00540CE3"/>
    <w:rsid w:val="00546183"/>
    <w:rsid w:val="00551328"/>
    <w:rsid w:val="0055375D"/>
    <w:rsid w:val="0055452D"/>
    <w:rsid w:val="00573E62"/>
    <w:rsid w:val="00582FE3"/>
    <w:rsid w:val="0058503E"/>
    <w:rsid w:val="005869D5"/>
    <w:rsid w:val="0059018C"/>
    <w:rsid w:val="00593AA9"/>
    <w:rsid w:val="005969A4"/>
    <w:rsid w:val="005A489B"/>
    <w:rsid w:val="005A58EC"/>
    <w:rsid w:val="005B0F25"/>
    <w:rsid w:val="005D158F"/>
    <w:rsid w:val="005D26FE"/>
    <w:rsid w:val="005D4515"/>
    <w:rsid w:val="005E1733"/>
    <w:rsid w:val="005E7CF4"/>
    <w:rsid w:val="0060081C"/>
    <w:rsid w:val="00613777"/>
    <w:rsid w:val="00617214"/>
    <w:rsid w:val="00617492"/>
    <w:rsid w:val="00621A62"/>
    <w:rsid w:val="006327BF"/>
    <w:rsid w:val="00634C72"/>
    <w:rsid w:val="00640C15"/>
    <w:rsid w:val="00641543"/>
    <w:rsid w:val="00644B5B"/>
    <w:rsid w:val="00653641"/>
    <w:rsid w:val="0065534D"/>
    <w:rsid w:val="006656A8"/>
    <w:rsid w:val="00665CE6"/>
    <w:rsid w:val="00667017"/>
    <w:rsid w:val="00675976"/>
    <w:rsid w:val="00677D3F"/>
    <w:rsid w:val="0068323D"/>
    <w:rsid w:val="00683544"/>
    <w:rsid w:val="006879DB"/>
    <w:rsid w:val="00693573"/>
    <w:rsid w:val="00696A11"/>
    <w:rsid w:val="00696BA5"/>
    <w:rsid w:val="006A3D17"/>
    <w:rsid w:val="006A6570"/>
    <w:rsid w:val="006A71DC"/>
    <w:rsid w:val="006B7884"/>
    <w:rsid w:val="006B7BAD"/>
    <w:rsid w:val="006C22B7"/>
    <w:rsid w:val="006C28C6"/>
    <w:rsid w:val="006C62B6"/>
    <w:rsid w:val="006C7EF7"/>
    <w:rsid w:val="006D3198"/>
    <w:rsid w:val="006D3862"/>
    <w:rsid w:val="006F0091"/>
    <w:rsid w:val="006F0837"/>
    <w:rsid w:val="006F60D4"/>
    <w:rsid w:val="007028D8"/>
    <w:rsid w:val="00704622"/>
    <w:rsid w:val="007056DB"/>
    <w:rsid w:val="00706518"/>
    <w:rsid w:val="00711632"/>
    <w:rsid w:val="007178BC"/>
    <w:rsid w:val="00717C97"/>
    <w:rsid w:val="00720255"/>
    <w:rsid w:val="0072183A"/>
    <w:rsid w:val="00735998"/>
    <w:rsid w:val="00735B56"/>
    <w:rsid w:val="00737901"/>
    <w:rsid w:val="00737ED7"/>
    <w:rsid w:val="0074281F"/>
    <w:rsid w:val="00764454"/>
    <w:rsid w:val="00764ADF"/>
    <w:rsid w:val="007716D2"/>
    <w:rsid w:val="007733C5"/>
    <w:rsid w:val="00775578"/>
    <w:rsid w:val="00776FE2"/>
    <w:rsid w:val="00777890"/>
    <w:rsid w:val="007851B1"/>
    <w:rsid w:val="007867F3"/>
    <w:rsid w:val="007878CC"/>
    <w:rsid w:val="00790D33"/>
    <w:rsid w:val="00792272"/>
    <w:rsid w:val="007928BB"/>
    <w:rsid w:val="00792CDC"/>
    <w:rsid w:val="007A2D02"/>
    <w:rsid w:val="007A40F5"/>
    <w:rsid w:val="007A438B"/>
    <w:rsid w:val="007A7E8A"/>
    <w:rsid w:val="007B3692"/>
    <w:rsid w:val="007B75BE"/>
    <w:rsid w:val="007C67EE"/>
    <w:rsid w:val="007D018F"/>
    <w:rsid w:val="007D1030"/>
    <w:rsid w:val="007D4651"/>
    <w:rsid w:val="007D5E93"/>
    <w:rsid w:val="007D6DB1"/>
    <w:rsid w:val="007E0DAB"/>
    <w:rsid w:val="00800686"/>
    <w:rsid w:val="00801030"/>
    <w:rsid w:val="00801928"/>
    <w:rsid w:val="008156A4"/>
    <w:rsid w:val="00816441"/>
    <w:rsid w:val="0082324B"/>
    <w:rsid w:val="00823257"/>
    <w:rsid w:val="0082330E"/>
    <w:rsid w:val="008267A1"/>
    <w:rsid w:val="008325FF"/>
    <w:rsid w:val="00833F67"/>
    <w:rsid w:val="00841163"/>
    <w:rsid w:val="008458D4"/>
    <w:rsid w:val="00846BCD"/>
    <w:rsid w:val="00847666"/>
    <w:rsid w:val="00847676"/>
    <w:rsid w:val="008520B9"/>
    <w:rsid w:val="008565BD"/>
    <w:rsid w:val="00864092"/>
    <w:rsid w:val="00864335"/>
    <w:rsid w:val="00867B6F"/>
    <w:rsid w:val="00873B68"/>
    <w:rsid w:val="00873FC2"/>
    <w:rsid w:val="00881076"/>
    <w:rsid w:val="008A6F4B"/>
    <w:rsid w:val="008A7B03"/>
    <w:rsid w:val="008B27F5"/>
    <w:rsid w:val="008B4E02"/>
    <w:rsid w:val="008C0D08"/>
    <w:rsid w:val="008C7B13"/>
    <w:rsid w:val="008C7FDF"/>
    <w:rsid w:val="008D1CD1"/>
    <w:rsid w:val="008D5E27"/>
    <w:rsid w:val="008D6C07"/>
    <w:rsid w:val="008D6E9D"/>
    <w:rsid w:val="008D6FE5"/>
    <w:rsid w:val="008D7819"/>
    <w:rsid w:val="008E1EA3"/>
    <w:rsid w:val="008E2737"/>
    <w:rsid w:val="0090590C"/>
    <w:rsid w:val="00915F5E"/>
    <w:rsid w:val="009260F0"/>
    <w:rsid w:val="00933A2A"/>
    <w:rsid w:val="00945742"/>
    <w:rsid w:val="00946078"/>
    <w:rsid w:val="00955ED9"/>
    <w:rsid w:val="009661B2"/>
    <w:rsid w:val="00970003"/>
    <w:rsid w:val="0097092E"/>
    <w:rsid w:val="00972220"/>
    <w:rsid w:val="00986686"/>
    <w:rsid w:val="009A1590"/>
    <w:rsid w:val="009A1780"/>
    <w:rsid w:val="009A62F6"/>
    <w:rsid w:val="009B2261"/>
    <w:rsid w:val="009B2927"/>
    <w:rsid w:val="009B3013"/>
    <w:rsid w:val="009B3D58"/>
    <w:rsid w:val="009C5885"/>
    <w:rsid w:val="009C5B30"/>
    <w:rsid w:val="009C65FF"/>
    <w:rsid w:val="009E0A02"/>
    <w:rsid w:val="009E5B99"/>
    <w:rsid w:val="009F6E8F"/>
    <w:rsid w:val="009F7AC5"/>
    <w:rsid w:val="00A01786"/>
    <w:rsid w:val="00A06C28"/>
    <w:rsid w:val="00A1320E"/>
    <w:rsid w:val="00A17AA5"/>
    <w:rsid w:val="00A20352"/>
    <w:rsid w:val="00A24D3E"/>
    <w:rsid w:val="00A30652"/>
    <w:rsid w:val="00A31464"/>
    <w:rsid w:val="00A35278"/>
    <w:rsid w:val="00A36E93"/>
    <w:rsid w:val="00A36F12"/>
    <w:rsid w:val="00A37891"/>
    <w:rsid w:val="00A4126B"/>
    <w:rsid w:val="00A46A87"/>
    <w:rsid w:val="00A50824"/>
    <w:rsid w:val="00A528A7"/>
    <w:rsid w:val="00A54C7B"/>
    <w:rsid w:val="00A713CA"/>
    <w:rsid w:val="00A763DA"/>
    <w:rsid w:val="00A82C59"/>
    <w:rsid w:val="00A82EA1"/>
    <w:rsid w:val="00A85C52"/>
    <w:rsid w:val="00A87EDD"/>
    <w:rsid w:val="00A9021B"/>
    <w:rsid w:val="00A9552B"/>
    <w:rsid w:val="00AA03D3"/>
    <w:rsid w:val="00AA216E"/>
    <w:rsid w:val="00AA3593"/>
    <w:rsid w:val="00AA6F92"/>
    <w:rsid w:val="00AB1B81"/>
    <w:rsid w:val="00AB45AD"/>
    <w:rsid w:val="00AC4263"/>
    <w:rsid w:val="00AD528A"/>
    <w:rsid w:val="00AD759F"/>
    <w:rsid w:val="00AE0D0E"/>
    <w:rsid w:val="00AF0338"/>
    <w:rsid w:val="00AF1684"/>
    <w:rsid w:val="00AF66D9"/>
    <w:rsid w:val="00B01E0E"/>
    <w:rsid w:val="00B0280C"/>
    <w:rsid w:val="00B04652"/>
    <w:rsid w:val="00B146DB"/>
    <w:rsid w:val="00B14B0E"/>
    <w:rsid w:val="00B22C67"/>
    <w:rsid w:val="00B31091"/>
    <w:rsid w:val="00B32753"/>
    <w:rsid w:val="00B37E74"/>
    <w:rsid w:val="00B40492"/>
    <w:rsid w:val="00B414B3"/>
    <w:rsid w:val="00B43FC2"/>
    <w:rsid w:val="00B50515"/>
    <w:rsid w:val="00B51DEA"/>
    <w:rsid w:val="00B621F4"/>
    <w:rsid w:val="00B64A86"/>
    <w:rsid w:val="00B70180"/>
    <w:rsid w:val="00B806E5"/>
    <w:rsid w:val="00B81174"/>
    <w:rsid w:val="00B87820"/>
    <w:rsid w:val="00B92304"/>
    <w:rsid w:val="00B93ACF"/>
    <w:rsid w:val="00BB3040"/>
    <w:rsid w:val="00BC18CB"/>
    <w:rsid w:val="00BC1F3D"/>
    <w:rsid w:val="00BD35F8"/>
    <w:rsid w:val="00BD61E0"/>
    <w:rsid w:val="00BD639F"/>
    <w:rsid w:val="00BD6C41"/>
    <w:rsid w:val="00BD7E89"/>
    <w:rsid w:val="00BE5FA7"/>
    <w:rsid w:val="00BF34F4"/>
    <w:rsid w:val="00BF6A93"/>
    <w:rsid w:val="00BF7F29"/>
    <w:rsid w:val="00C039F5"/>
    <w:rsid w:val="00C0789E"/>
    <w:rsid w:val="00C100C8"/>
    <w:rsid w:val="00C17F40"/>
    <w:rsid w:val="00C4139A"/>
    <w:rsid w:val="00C446BB"/>
    <w:rsid w:val="00C45FB9"/>
    <w:rsid w:val="00C46FEC"/>
    <w:rsid w:val="00C55CC6"/>
    <w:rsid w:val="00C63477"/>
    <w:rsid w:val="00C63D10"/>
    <w:rsid w:val="00C67A8F"/>
    <w:rsid w:val="00C7033F"/>
    <w:rsid w:val="00C7169C"/>
    <w:rsid w:val="00C72CB3"/>
    <w:rsid w:val="00C85B0E"/>
    <w:rsid w:val="00C867B2"/>
    <w:rsid w:val="00C92847"/>
    <w:rsid w:val="00C95599"/>
    <w:rsid w:val="00C95E9C"/>
    <w:rsid w:val="00C97330"/>
    <w:rsid w:val="00CA2AB5"/>
    <w:rsid w:val="00CA5563"/>
    <w:rsid w:val="00CC05FD"/>
    <w:rsid w:val="00CC1E51"/>
    <w:rsid w:val="00CC461F"/>
    <w:rsid w:val="00CC492F"/>
    <w:rsid w:val="00CC511E"/>
    <w:rsid w:val="00CD22D6"/>
    <w:rsid w:val="00CD5CCC"/>
    <w:rsid w:val="00CE752C"/>
    <w:rsid w:val="00D124A0"/>
    <w:rsid w:val="00D16EB3"/>
    <w:rsid w:val="00D331F4"/>
    <w:rsid w:val="00D376DC"/>
    <w:rsid w:val="00D47005"/>
    <w:rsid w:val="00D47719"/>
    <w:rsid w:val="00D50EF1"/>
    <w:rsid w:val="00D51615"/>
    <w:rsid w:val="00D60AFD"/>
    <w:rsid w:val="00D64742"/>
    <w:rsid w:val="00D7177B"/>
    <w:rsid w:val="00D73B7D"/>
    <w:rsid w:val="00D73E17"/>
    <w:rsid w:val="00D77624"/>
    <w:rsid w:val="00D8054E"/>
    <w:rsid w:val="00D846A1"/>
    <w:rsid w:val="00D92417"/>
    <w:rsid w:val="00D92750"/>
    <w:rsid w:val="00D958E2"/>
    <w:rsid w:val="00DA142A"/>
    <w:rsid w:val="00DA447F"/>
    <w:rsid w:val="00DB7AF7"/>
    <w:rsid w:val="00DC1BE6"/>
    <w:rsid w:val="00DC7D81"/>
    <w:rsid w:val="00DD4D08"/>
    <w:rsid w:val="00DD7CBD"/>
    <w:rsid w:val="00DD7F66"/>
    <w:rsid w:val="00DF0A0F"/>
    <w:rsid w:val="00DF5055"/>
    <w:rsid w:val="00E1307B"/>
    <w:rsid w:val="00E14563"/>
    <w:rsid w:val="00E20E55"/>
    <w:rsid w:val="00E21304"/>
    <w:rsid w:val="00E24958"/>
    <w:rsid w:val="00E26953"/>
    <w:rsid w:val="00E30A7E"/>
    <w:rsid w:val="00E317F3"/>
    <w:rsid w:val="00E322B1"/>
    <w:rsid w:val="00E326AC"/>
    <w:rsid w:val="00E33056"/>
    <w:rsid w:val="00E456EB"/>
    <w:rsid w:val="00E52232"/>
    <w:rsid w:val="00E5604A"/>
    <w:rsid w:val="00E56AFD"/>
    <w:rsid w:val="00E57B0D"/>
    <w:rsid w:val="00E650FC"/>
    <w:rsid w:val="00E672AB"/>
    <w:rsid w:val="00E72502"/>
    <w:rsid w:val="00E74136"/>
    <w:rsid w:val="00E83447"/>
    <w:rsid w:val="00E9407C"/>
    <w:rsid w:val="00E95227"/>
    <w:rsid w:val="00EA61E6"/>
    <w:rsid w:val="00EB16DD"/>
    <w:rsid w:val="00EB19E6"/>
    <w:rsid w:val="00EB2698"/>
    <w:rsid w:val="00EB5921"/>
    <w:rsid w:val="00EB7C77"/>
    <w:rsid w:val="00EC0235"/>
    <w:rsid w:val="00EC05AD"/>
    <w:rsid w:val="00EC092E"/>
    <w:rsid w:val="00EC1FF7"/>
    <w:rsid w:val="00ED09F8"/>
    <w:rsid w:val="00ED3160"/>
    <w:rsid w:val="00ED57DC"/>
    <w:rsid w:val="00ED69E2"/>
    <w:rsid w:val="00EE544C"/>
    <w:rsid w:val="00EF5D65"/>
    <w:rsid w:val="00F01996"/>
    <w:rsid w:val="00F05B65"/>
    <w:rsid w:val="00F13896"/>
    <w:rsid w:val="00F204EC"/>
    <w:rsid w:val="00F3100D"/>
    <w:rsid w:val="00F433DD"/>
    <w:rsid w:val="00F51229"/>
    <w:rsid w:val="00F70FC1"/>
    <w:rsid w:val="00F732A0"/>
    <w:rsid w:val="00F762B6"/>
    <w:rsid w:val="00F8141D"/>
    <w:rsid w:val="00F87C05"/>
    <w:rsid w:val="00F9057E"/>
    <w:rsid w:val="00F90ACE"/>
    <w:rsid w:val="00F9244E"/>
    <w:rsid w:val="00F93291"/>
    <w:rsid w:val="00F9505D"/>
    <w:rsid w:val="00FA25CF"/>
    <w:rsid w:val="00FA275F"/>
    <w:rsid w:val="00FA68BA"/>
    <w:rsid w:val="00FB042D"/>
    <w:rsid w:val="00FB0EEE"/>
    <w:rsid w:val="00FB72E0"/>
    <w:rsid w:val="00FC4D8B"/>
    <w:rsid w:val="00FC548B"/>
    <w:rsid w:val="00FC7FB0"/>
    <w:rsid w:val="00FD72EB"/>
    <w:rsid w:val="00FE157A"/>
    <w:rsid w:val="00FE1F38"/>
    <w:rsid w:val="00FE46EE"/>
    <w:rsid w:val="00FE5A9B"/>
    <w:rsid w:val="00FF1505"/>
    <w:rsid w:val="00FF48AA"/>
    <w:rsid w:val="00FF49E3"/>
    <w:rsid w:val="00FF7CD8"/>
    <w:rsid w:val="014C40EC"/>
    <w:rsid w:val="024C6E05"/>
    <w:rsid w:val="02680906"/>
    <w:rsid w:val="03D13C65"/>
    <w:rsid w:val="03EE614B"/>
    <w:rsid w:val="04902CE1"/>
    <w:rsid w:val="05747737"/>
    <w:rsid w:val="06047B21"/>
    <w:rsid w:val="065111C4"/>
    <w:rsid w:val="06DE7B18"/>
    <w:rsid w:val="07120621"/>
    <w:rsid w:val="07F659EA"/>
    <w:rsid w:val="0821365A"/>
    <w:rsid w:val="08DD58BF"/>
    <w:rsid w:val="099C204D"/>
    <w:rsid w:val="0AC243D4"/>
    <w:rsid w:val="0B720EBE"/>
    <w:rsid w:val="0EBA672E"/>
    <w:rsid w:val="0F1950DE"/>
    <w:rsid w:val="11BD2F2B"/>
    <w:rsid w:val="11CF2E09"/>
    <w:rsid w:val="127F7D3B"/>
    <w:rsid w:val="12A01250"/>
    <w:rsid w:val="12EB787A"/>
    <w:rsid w:val="130C2527"/>
    <w:rsid w:val="14D2091C"/>
    <w:rsid w:val="15F30261"/>
    <w:rsid w:val="16172322"/>
    <w:rsid w:val="162800F6"/>
    <w:rsid w:val="167E323A"/>
    <w:rsid w:val="16D720D1"/>
    <w:rsid w:val="172131BA"/>
    <w:rsid w:val="182E31C8"/>
    <w:rsid w:val="1ADC23E5"/>
    <w:rsid w:val="1AEC6E63"/>
    <w:rsid w:val="1B5B5FFC"/>
    <w:rsid w:val="1BA0480C"/>
    <w:rsid w:val="1C4D17F5"/>
    <w:rsid w:val="1D0E4962"/>
    <w:rsid w:val="1D2E6FA2"/>
    <w:rsid w:val="1E0C4536"/>
    <w:rsid w:val="1F7175A8"/>
    <w:rsid w:val="20614501"/>
    <w:rsid w:val="20935198"/>
    <w:rsid w:val="21292817"/>
    <w:rsid w:val="214C0AB0"/>
    <w:rsid w:val="21806AE0"/>
    <w:rsid w:val="21B144C6"/>
    <w:rsid w:val="21FC3E0F"/>
    <w:rsid w:val="239E6CF6"/>
    <w:rsid w:val="244E009A"/>
    <w:rsid w:val="248C52DB"/>
    <w:rsid w:val="251A5CDE"/>
    <w:rsid w:val="253757F7"/>
    <w:rsid w:val="2672714F"/>
    <w:rsid w:val="268E4E5E"/>
    <w:rsid w:val="26C43CB0"/>
    <w:rsid w:val="2833573C"/>
    <w:rsid w:val="284D0A13"/>
    <w:rsid w:val="28843ECE"/>
    <w:rsid w:val="28AA7EAF"/>
    <w:rsid w:val="292413D2"/>
    <w:rsid w:val="2A2225AD"/>
    <w:rsid w:val="2B67117F"/>
    <w:rsid w:val="2BE82F56"/>
    <w:rsid w:val="2BE91D0D"/>
    <w:rsid w:val="2E805E9D"/>
    <w:rsid w:val="2E893014"/>
    <w:rsid w:val="2EF9095D"/>
    <w:rsid w:val="2FAB078A"/>
    <w:rsid w:val="2FC9377C"/>
    <w:rsid w:val="30170CDE"/>
    <w:rsid w:val="305A6798"/>
    <w:rsid w:val="31285C6B"/>
    <w:rsid w:val="31D6099F"/>
    <w:rsid w:val="32251B27"/>
    <w:rsid w:val="324B5CB0"/>
    <w:rsid w:val="3418282F"/>
    <w:rsid w:val="34CB2C29"/>
    <w:rsid w:val="352302D8"/>
    <w:rsid w:val="35BF4BC3"/>
    <w:rsid w:val="35CC6EB4"/>
    <w:rsid w:val="366C0F1F"/>
    <w:rsid w:val="375C3C71"/>
    <w:rsid w:val="382E3031"/>
    <w:rsid w:val="38C83FAB"/>
    <w:rsid w:val="39771C23"/>
    <w:rsid w:val="39B160E3"/>
    <w:rsid w:val="3A2350C1"/>
    <w:rsid w:val="3ACE7867"/>
    <w:rsid w:val="3B776D40"/>
    <w:rsid w:val="3C520833"/>
    <w:rsid w:val="3D300224"/>
    <w:rsid w:val="3D6B32BC"/>
    <w:rsid w:val="3E323581"/>
    <w:rsid w:val="3ED61727"/>
    <w:rsid w:val="3F9569C3"/>
    <w:rsid w:val="3FD1391F"/>
    <w:rsid w:val="40E73807"/>
    <w:rsid w:val="41C545CD"/>
    <w:rsid w:val="42E24CD7"/>
    <w:rsid w:val="43354AEC"/>
    <w:rsid w:val="437916B9"/>
    <w:rsid w:val="437B16AD"/>
    <w:rsid w:val="44131802"/>
    <w:rsid w:val="4542479D"/>
    <w:rsid w:val="4594590A"/>
    <w:rsid w:val="465D5722"/>
    <w:rsid w:val="466D26A3"/>
    <w:rsid w:val="4791092E"/>
    <w:rsid w:val="48C77E38"/>
    <w:rsid w:val="4C8A034C"/>
    <w:rsid w:val="4CD666C0"/>
    <w:rsid w:val="4D336846"/>
    <w:rsid w:val="4DDF7F66"/>
    <w:rsid w:val="4E210850"/>
    <w:rsid w:val="4EAF35CA"/>
    <w:rsid w:val="4F1960B4"/>
    <w:rsid w:val="4FC67AF1"/>
    <w:rsid w:val="501D7233"/>
    <w:rsid w:val="50206FB1"/>
    <w:rsid w:val="508B1FC7"/>
    <w:rsid w:val="50A35D92"/>
    <w:rsid w:val="511A2042"/>
    <w:rsid w:val="513C4EE9"/>
    <w:rsid w:val="519F5531"/>
    <w:rsid w:val="52235368"/>
    <w:rsid w:val="526133EE"/>
    <w:rsid w:val="53373D6F"/>
    <w:rsid w:val="54A13A32"/>
    <w:rsid w:val="54A423CF"/>
    <w:rsid w:val="568A0150"/>
    <w:rsid w:val="57EE45CC"/>
    <w:rsid w:val="58AF7069"/>
    <w:rsid w:val="590145B5"/>
    <w:rsid w:val="59AD3BF7"/>
    <w:rsid w:val="5A783E77"/>
    <w:rsid w:val="5B6C5B74"/>
    <w:rsid w:val="5BAA78B6"/>
    <w:rsid w:val="5BBA44EE"/>
    <w:rsid w:val="5C4F3A4F"/>
    <w:rsid w:val="5CDC46F4"/>
    <w:rsid w:val="5D082B83"/>
    <w:rsid w:val="5D272A57"/>
    <w:rsid w:val="5D895996"/>
    <w:rsid w:val="5D935511"/>
    <w:rsid w:val="5D972067"/>
    <w:rsid w:val="5DB521AE"/>
    <w:rsid w:val="5E201C10"/>
    <w:rsid w:val="5E315865"/>
    <w:rsid w:val="5E6806B0"/>
    <w:rsid w:val="5E8564A9"/>
    <w:rsid w:val="5F01703A"/>
    <w:rsid w:val="5F1B2B45"/>
    <w:rsid w:val="5FE87F75"/>
    <w:rsid w:val="61A60702"/>
    <w:rsid w:val="62841290"/>
    <w:rsid w:val="635B0F5E"/>
    <w:rsid w:val="640154AE"/>
    <w:rsid w:val="65A60B88"/>
    <w:rsid w:val="67856E43"/>
    <w:rsid w:val="693F098C"/>
    <w:rsid w:val="699C16E7"/>
    <w:rsid w:val="6B2550EE"/>
    <w:rsid w:val="6B7F6966"/>
    <w:rsid w:val="6BA05D0E"/>
    <w:rsid w:val="6BCD26C8"/>
    <w:rsid w:val="6BE06A79"/>
    <w:rsid w:val="6C045ACC"/>
    <w:rsid w:val="6C0958FC"/>
    <w:rsid w:val="6D831A29"/>
    <w:rsid w:val="6D944C83"/>
    <w:rsid w:val="6DA7614A"/>
    <w:rsid w:val="6E57154D"/>
    <w:rsid w:val="6F477649"/>
    <w:rsid w:val="6F9A3289"/>
    <w:rsid w:val="7120101C"/>
    <w:rsid w:val="713F1DDC"/>
    <w:rsid w:val="715A6B2A"/>
    <w:rsid w:val="72681B43"/>
    <w:rsid w:val="735619C5"/>
    <w:rsid w:val="73BB6A9B"/>
    <w:rsid w:val="740D76AE"/>
    <w:rsid w:val="748E6280"/>
    <w:rsid w:val="74AE4BC0"/>
    <w:rsid w:val="74C90E14"/>
    <w:rsid w:val="758B513A"/>
    <w:rsid w:val="759937A9"/>
    <w:rsid w:val="767E06DD"/>
    <w:rsid w:val="76A509B4"/>
    <w:rsid w:val="77497110"/>
    <w:rsid w:val="777B5CC0"/>
    <w:rsid w:val="78BB19C2"/>
    <w:rsid w:val="78F77D6A"/>
    <w:rsid w:val="7AA80DCB"/>
    <w:rsid w:val="7C27198A"/>
    <w:rsid w:val="7C986D6C"/>
    <w:rsid w:val="7DDE4476"/>
    <w:rsid w:val="7E8617F7"/>
    <w:rsid w:val="7F75108F"/>
    <w:rsid w:val="7F7E36F5"/>
    <w:rsid w:val="7F892578"/>
    <w:rsid w:val="7FB47B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nhideWhenUsed="0" w:uiPriority="0" w:semiHidden="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42"/>
    <w:qFormat/>
    <w:uiPriority w:val="99"/>
    <w:pPr>
      <w:keepNext/>
      <w:keepLines/>
      <w:spacing w:before="340" w:after="330" w:line="578" w:lineRule="auto"/>
      <w:outlineLvl w:val="0"/>
    </w:pPr>
    <w:rPr>
      <w:kern w:val="44"/>
      <w:sz w:val="44"/>
      <w:szCs w:val="44"/>
    </w:rPr>
  </w:style>
  <w:style w:type="paragraph" w:styleId="5">
    <w:name w:val="heading 2"/>
    <w:basedOn w:val="1"/>
    <w:next w:val="1"/>
    <w:link w:val="41"/>
    <w:qFormat/>
    <w:uiPriority w:val="99"/>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4"/>
    <w:qFormat/>
    <w:uiPriority w:val="99"/>
    <w:pPr>
      <w:keepNext/>
      <w:keepLines/>
      <w:spacing w:before="260" w:after="260" w:line="416" w:lineRule="auto"/>
      <w:outlineLvl w:val="2"/>
    </w:pPr>
    <w:rPr>
      <w:b/>
      <w:bCs/>
      <w:kern w:val="0"/>
      <w:sz w:val="32"/>
      <w:szCs w:val="32"/>
    </w:rPr>
  </w:style>
  <w:style w:type="paragraph" w:styleId="2">
    <w:name w:val="heading 4"/>
    <w:basedOn w:val="1"/>
    <w:next w:val="1"/>
    <w:qFormat/>
    <w:locked/>
    <w:uiPriority w:val="0"/>
    <w:pPr>
      <w:autoSpaceDE w:val="0"/>
      <w:autoSpaceDN w:val="0"/>
      <w:adjustRightInd w:val="0"/>
      <w:spacing w:line="500" w:lineRule="exact"/>
      <w:ind w:right="-425"/>
      <w:outlineLvl w:val="3"/>
    </w:pPr>
    <w:rPr>
      <w:rFonts w:ascii="宋体" w:hAnsi="Arial"/>
      <w:color w:val="000000"/>
      <w:sz w:val="24"/>
    </w:rPr>
  </w:style>
  <w:style w:type="paragraph" w:styleId="7">
    <w:name w:val="heading 9"/>
    <w:next w:val="1"/>
    <w:qFormat/>
    <w:locked/>
    <w:uiPriority w:val="0"/>
    <w:pPr>
      <w:widowControl w:val="0"/>
      <w:spacing w:line="300" w:lineRule="auto"/>
      <w:ind w:firstLine="425"/>
      <w:jc w:val="both"/>
      <w:outlineLvl w:val="8"/>
    </w:pPr>
    <w:rPr>
      <w:rFonts w:ascii="Calibri" w:hAnsi="Calibri" w:eastAsia="宋体" w:cs="Times New Roman"/>
      <w:sz w:val="21"/>
      <w:lang w:val="en-US" w:eastAsia="zh-CN" w:bidi="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link w:val="71"/>
    <w:qFormat/>
    <w:uiPriority w:val="99"/>
    <w:pPr>
      <w:spacing w:before="240" w:after="60"/>
      <w:jc w:val="left"/>
      <w:outlineLvl w:val="0"/>
    </w:pPr>
    <w:rPr>
      <w:rFonts w:ascii="Cambria" w:hAnsi="Cambria"/>
      <w:b/>
      <w:bCs/>
      <w:sz w:val="24"/>
      <w:szCs w:val="32"/>
    </w:rPr>
  </w:style>
  <w:style w:type="paragraph" w:styleId="8">
    <w:name w:val="Normal Indent"/>
    <w:basedOn w:val="1"/>
    <w:link w:val="57"/>
    <w:qFormat/>
    <w:uiPriority w:val="99"/>
    <w:pPr>
      <w:spacing w:line="360" w:lineRule="auto"/>
    </w:pPr>
    <w:rPr>
      <w:rFonts w:ascii="宋体" w:hAnsi="宋体"/>
      <w:szCs w:val="21"/>
    </w:rPr>
  </w:style>
  <w:style w:type="paragraph" w:styleId="9">
    <w:name w:val="Document Map"/>
    <w:basedOn w:val="1"/>
    <w:link w:val="55"/>
    <w:qFormat/>
    <w:uiPriority w:val="99"/>
    <w:rPr>
      <w:rFonts w:ascii="宋体"/>
      <w:kern w:val="0"/>
      <w:sz w:val="18"/>
      <w:szCs w:val="18"/>
    </w:rPr>
  </w:style>
  <w:style w:type="paragraph" w:styleId="10">
    <w:name w:val="annotation text"/>
    <w:basedOn w:val="1"/>
    <w:link w:val="72"/>
    <w:qFormat/>
    <w:uiPriority w:val="99"/>
    <w:pPr>
      <w:jc w:val="left"/>
    </w:pPr>
  </w:style>
  <w:style w:type="paragraph" w:styleId="11">
    <w:name w:val="Body Text 3"/>
    <w:basedOn w:val="1"/>
    <w:link w:val="51"/>
    <w:qFormat/>
    <w:uiPriority w:val="99"/>
    <w:pPr>
      <w:spacing w:after="120"/>
    </w:pPr>
    <w:rPr>
      <w:sz w:val="16"/>
      <w:szCs w:val="16"/>
    </w:rPr>
  </w:style>
  <w:style w:type="paragraph" w:styleId="12">
    <w:name w:val="Body Text"/>
    <w:basedOn w:val="1"/>
    <w:link w:val="63"/>
    <w:qFormat/>
    <w:uiPriority w:val="99"/>
    <w:pPr>
      <w:spacing w:after="120"/>
    </w:pPr>
  </w:style>
  <w:style w:type="paragraph" w:styleId="13">
    <w:name w:val="Body Text Indent"/>
    <w:basedOn w:val="1"/>
    <w:link w:val="49"/>
    <w:qFormat/>
    <w:uiPriority w:val="99"/>
    <w:pPr>
      <w:spacing w:line="360" w:lineRule="auto"/>
      <w:ind w:firstLine="600" w:firstLineChars="200"/>
    </w:pPr>
    <w:rPr>
      <w:sz w:val="30"/>
    </w:rPr>
  </w:style>
  <w:style w:type="paragraph" w:styleId="14">
    <w:name w:val="toc 3"/>
    <w:basedOn w:val="1"/>
    <w:next w:val="1"/>
    <w:qFormat/>
    <w:uiPriority w:val="99"/>
    <w:pPr>
      <w:adjustRightInd w:val="0"/>
      <w:snapToGrid w:val="0"/>
      <w:spacing w:line="500" w:lineRule="atLeast"/>
      <w:ind w:left="480"/>
      <w:jc w:val="left"/>
    </w:pPr>
    <w:rPr>
      <w:rFonts w:ascii="仿宋_GB2312" w:eastAsia="仿宋_GB2312"/>
      <w:b/>
      <w:bCs/>
      <w:sz w:val="24"/>
    </w:rPr>
  </w:style>
  <w:style w:type="paragraph" w:styleId="15">
    <w:name w:val="Plain Text"/>
    <w:basedOn w:val="1"/>
    <w:link w:val="59"/>
    <w:qFormat/>
    <w:uiPriority w:val="99"/>
    <w:rPr>
      <w:rFonts w:ascii="宋体" w:hAnsi="Courier New"/>
      <w:szCs w:val="21"/>
    </w:rPr>
  </w:style>
  <w:style w:type="paragraph" w:styleId="16">
    <w:name w:val="Date"/>
    <w:basedOn w:val="1"/>
    <w:next w:val="1"/>
    <w:link w:val="48"/>
    <w:qFormat/>
    <w:uiPriority w:val="99"/>
    <w:pPr>
      <w:ind w:left="100" w:leftChars="2500"/>
    </w:pPr>
    <w:rPr>
      <w:sz w:val="24"/>
    </w:rPr>
  </w:style>
  <w:style w:type="paragraph" w:styleId="17">
    <w:name w:val="Body Text Indent 2"/>
    <w:basedOn w:val="1"/>
    <w:link w:val="69"/>
    <w:qFormat/>
    <w:uiPriority w:val="99"/>
    <w:pPr>
      <w:spacing w:after="120" w:line="480" w:lineRule="auto"/>
      <w:ind w:left="420" w:leftChars="200"/>
    </w:pPr>
    <w:rPr>
      <w:sz w:val="28"/>
      <w:szCs w:val="20"/>
    </w:rPr>
  </w:style>
  <w:style w:type="paragraph" w:styleId="18">
    <w:name w:val="Balloon Text"/>
    <w:basedOn w:val="1"/>
    <w:link w:val="65"/>
    <w:qFormat/>
    <w:uiPriority w:val="99"/>
    <w:rPr>
      <w:sz w:val="18"/>
      <w:szCs w:val="18"/>
    </w:rPr>
  </w:style>
  <w:style w:type="paragraph" w:styleId="19">
    <w:name w:val="footer"/>
    <w:basedOn w:val="1"/>
    <w:link w:val="46"/>
    <w:qFormat/>
    <w:uiPriority w:val="99"/>
    <w:pPr>
      <w:tabs>
        <w:tab w:val="center" w:pos="4153"/>
        <w:tab w:val="right" w:pos="8306"/>
      </w:tabs>
      <w:snapToGrid w:val="0"/>
      <w:jc w:val="left"/>
    </w:pPr>
    <w:rPr>
      <w:sz w:val="18"/>
      <w:szCs w:val="18"/>
    </w:rPr>
  </w:style>
  <w:style w:type="paragraph" w:styleId="2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left" w:pos="630"/>
        <w:tab w:val="right" w:leader="dot" w:pos="9277"/>
      </w:tabs>
      <w:ind w:left="284" w:leftChars="156"/>
    </w:pPr>
    <w:rPr>
      <w:sz w:val="28"/>
      <w:szCs w:val="20"/>
    </w:rPr>
  </w:style>
  <w:style w:type="paragraph" w:styleId="22">
    <w:name w:val="toc 2"/>
    <w:basedOn w:val="1"/>
    <w:next w:val="1"/>
    <w:qFormat/>
    <w:uiPriority w:val="39"/>
    <w:pPr>
      <w:ind w:left="420" w:leftChars="200"/>
    </w:pPr>
    <w:rPr>
      <w:sz w:val="28"/>
      <w:szCs w:val="20"/>
    </w:rPr>
  </w:style>
  <w:style w:type="paragraph" w:styleId="23">
    <w:name w:val="Normal (Web)"/>
    <w:basedOn w:val="1"/>
    <w:qFormat/>
    <w:uiPriority w:val="99"/>
    <w:pPr>
      <w:widowControl/>
      <w:spacing w:before="100" w:beforeAutospacing="1" w:after="100" w:afterAutospacing="1"/>
      <w:jc w:val="left"/>
    </w:pPr>
    <w:rPr>
      <w:rFonts w:ascii="&amp;#23435;&amp;#20307;" w:hAnsi="&amp;#23435;&amp;#20307;"/>
      <w:kern w:val="0"/>
      <w:sz w:val="18"/>
      <w:szCs w:val="18"/>
    </w:rPr>
  </w:style>
  <w:style w:type="paragraph" w:styleId="24">
    <w:name w:val="annotation subject"/>
    <w:basedOn w:val="10"/>
    <w:next w:val="10"/>
    <w:link w:val="73"/>
    <w:qFormat/>
    <w:uiPriority w:val="99"/>
    <w:rPr>
      <w:b/>
      <w:bCs/>
    </w:rPr>
  </w:style>
  <w:style w:type="table" w:styleId="26">
    <w:name w:val="Table Grid"/>
    <w:basedOn w:val="25"/>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basedOn w:val="27"/>
    <w:qFormat/>
    <w:locked/>
    <w:uiPriority w:val="0"/>
    <w:rPr>
      <w:b/>
    </w:rPr>
  </w:style>
  <w:style w:type="character" w:styleId="29">
    <w:name w:val="page number"/>
    <w:basedOn w:val="27"/>
    <w:qFormat/>
    <w:uiPriority w:val="99"/>
    <w:rPr>
      <w:rFonts w:cs="Times New Roman"/>
    </w:rPr>
  </w:style>
  <w:style w:type="character" w:styleId="30">
    <w:name w:val="FollowedHyperlink"/>
    <w:qFormat/>
    <w:uiPriority w:val="99"/>
    <w:rPr>
      <w:rFonts w:cs="Times New Roman"/>
      <w:color w:val="800080"/>
      <w:u w:val="single"/>
    </w:rPr>
  </w:style>
  <w:style w:type="character" w:styleId="31">
    <w:name w:val="Emphasis"/>
    <w:basedOn w:val="27"/>
    <w:qFormat/>
    <w:locked/>
    <w:uiPriority w:val="0"/>
    <w:rPr>
      <w:i/>
    </w:rPr>
  </w:style>
  <w:style w:type="character" w:styleId="32">
    <w:name w:val="HTML Definition"/>
    <w:basedOn w:val="27"/>
    <w:unhideWhenUsed/>
    <w:qFormat/>
    <w:uiPriority w:val="99"/>
  </w:style>
  <w:style w:type="character" w:styleId="33">
    <w:name w:val="HTML Acronym"/>
    <w:basedOn w:val="27"/>
    <w:unhideWhenUsed/>
    <w:qFormat/>
    <w:uiPriority w:val="99"/>
  </w:style>
  <w:style w:type="character" w:styleId="34">
    <w:name w:val="HTML Variable"/>
    <w:basedOn w:val="27"/>
    <w:unhideWhenUsed/>
    <w:qFormat/>
    <w:uiPriority w:val="99"/>
  </w:style>
  <w:style w:type="character" w:styleId="35">
    <w:name w:val="Hyperlink"/>
    <w:qFormat/>
    <w:uiPriority w:val="99"/>
    <w:rPr>
      <w:rFonts w:cs="Times New Roman"/>
      <w:color w:val="0000FF"/>
      <w:u w:val="single"/>
    </w:rPr>
  </w:style>
  <w:style w:type="character" w:styleId="36">
    <w:name w:val="HTML Code"/>
    <w:basedOn w:val="27"/>
    <w:unhideWhenUsed/>
    <w:qFormat/>
    <w:uiPriority w:val="99"/>
    <w:rPr>
      <w:rFonts w:ascii="monospace" w:hAnsi="monospace" w:eastAsia="monospace" w:cs="monospace"/>
      <w:sz w:val="24"/>
      <w:szCs w:val="24"/>
    </w:rPr>
  </w:style>
  <w:style w:type="character" w:styleId="37">
    <w:name w:val="annotation reference"/>
    <w:qFormat/>
    <w:uiPriority w:val="99"/>
    <w:rPr>
      <w:rFonts w:cs="Times New Roman"/>
      <w:sz w:val="21"/>
    </w:rPr>
  </w:style>
  <w:style w:type="character" w:styleId="38">
    <w:name w:val="HTML Cite"/>
    <w:basedOn w:val="27"/>
    <w:unhideWhenUsed/>
    <w:qFormat/>
    <w:uiPriority w:val="99"/>
  </w:style>
  <w:style w:type="character" w:styleId="39">
    <w:name w:val="HTML Keyboard"/>
    <w:basedOn w:val="27"/>
    <w:unhideWhenUsed/>
    <w:qFormat/>
    <w:uiPriority w:val="99"/>
    <w:rPr>
      <w:rFonts w:hint="default" w:ascii="monospace" w:hAnsi="monospace" w:eastAsia="monospace" w:cs="monospace"/>
      <w:sz w:val="24"/>
      <w:szCs w:val="24"/>
    </w:rPr>
  </w:style>
  <w:style w:type="character" w:styleId="40">
    <w:name w:val="HTML Sample"/>
    <w:basedOn w:val="27"/>
    <w:unhideWhenUsed/>
    <w:qFormat/>
    <w:uiPriority w:val="99"/>
    <w:rPr>
      <w:rFonts w:hint="default" w:ascii="monospace" w:hAnsi="monospace" w:eastAsia="monospace" w:cs="monospace"/>
      <w:sz w:val="24"/>
      <w:szCs w:val="24"/>
    </w:rPr>
  </w:style>
  <w:style w:type="character" w:customStyle="1" w:styleId="41">
    <w:name w:val="标题 2 Char"/>
    <w:link w:val="5"/>
    <w:qFormat/>
    <w:locked/>
    <w:uiPriority w:val="99"/>
    <w:rPr>
      <w:rFonts w:ascii="Arial" w:hAnsi="Arial" w:eastAsia="黑体"/>
      <w:b/>
      <w:sz w:val="32"/>
    </w:rPr>
  </w:style>
  <w:style w:type="character" w:customStyle="1" w:styleId="42">
    <w:name w:val="标题 1 Char1"/>
    <w:link w:val="3"/>
    <w:qFormat/>
    <w:locked/>
    <w:uiPriority w:val="99"/>
    <w:rPr>
      <w:b/>
      <w:kern w:val="44"/>
      <w:sz w:val="44"/>
    </w:rPr>
  </w:style>
  <w:style w:type="character" w:customStyle="1" w:styleId="43">
    <w:name w:val="Heading 2 Char"/>
    <w:semiHidden/>
    <w:qFormat/>
    <w:uiPriority w:val="9"/>
    <w:rPr>
      <w:rFonts w:ascii="Cambria" w:hAnsi="Cambria" w:eastAsia="宋体" w:cs="Times New Roman"/>
      <w:b/>
      <w:bCs/>
      <w:sz w:val="32"/>
      <w:szCs w:val="32"/>
    </w:rPr>
  </w:style>
  <w:style w:type="character" w:customStyle="1" w:styleId="44">
    <w:name w:val="标题 3 Char"/>
    <w:link w:val="6"/>
    <w:qFormat/>
    <w:locked/>
    <w:uiPriority w:val="99"/>
    <w:rPr>
      <w:b/>
      <w:sz w:val="32"/>
    </w:rPr>
  </w:style>
  <w:style w:type="character" w:customStyle="1" w:styleId="45">
    <w:name w:val="页眉 Char"/>
    <w:link w:val="20"/>
    <w:qFormat/>
    <w:locked/>
    <w:uiPriority w:val="99"/>
    <w:rPr>
      <w:rFonts w:eastAsia="宋体"/>
      <w:kern w:val="2"/>
      <w:sz w:val="18"/>
      <w:lang w:val="en-US" w:eastAsia="zh-CN"/>
    </w:rPr>
  </w:style>
  <w:style w:type="character" w:customStyle="1" w:styleId="46">
    <w:name w:val="页脚 Char"/>
    <w:link w:val="19"/>
    <w:qFormat/>
    <w:locked/>
    <w:uiPriority w:val="99"/>
    <w:rPr>
      <w:kern w:val="2"/>
      <w:sz w:val="18"/>
    </w:rPr>
  </w:style>
  <w:style w:type="paragraph" w:customStyle="1" w:styleId="47">
    <w:name w:val="列出段落1"/>
    <w:basedOn w:val="1"/>
    <w:qFormat/>
    <w:uiPriority w:val="99"/>
    <w:pPr>
      <w:ind w:firstLine="420" w:firstLineChars="200"/>
    </w:pPr>
    <w:rPr>
      <w:rFonts w:ascii="Calibri" w:hAnsi="Calibri"/>
      <w:szCs w:val="22"/>
    </w:rPr>
  </w:style>
  <w:style w:type="character" w:customStyle="1" w:styleId="48">
    <w:name w:val="日期 Char"/>
    <w:link w:val="16"/>
    <w:qFormat/>
    <w:locked/>
    <w:uiPriority w:val="99"/>
    <w:rPr>
      <w:kern w:val="2"/>
      <w:sz w:val="24"/>
    </w:rPr>
  </w:style>
  <w:style w:type="character" w:customStyle="1" w:styleId="49">
    <w:name w:val="正文文本缩进 Char"/>
    <w:link w:val="13"/>
    <w:qFormat/>
    <w:locked/>
    <w:uiPriority w:val="99"/>
    <w:rPr>
      <w:kern w:val="2"/>
      <w:sz w:val="24"/>
    </w:rPr>
  </w:style>
  <w:style w:type="character" w:customStyle="1" w:styleId="50">
    <w:name w:val="Body Text 3 Char"/>
    <w:qFormat/>
    <w:locked/>
    <w:uiPriority w:val="99"/>
    <w:rPr>
      <w:kern w:val="2"/>
      <w:sz w:val="16"/>
    </w:rPr>
  </w:style>
  <w:style w:type="character" w:customStyle="1" w:styleId="51">
    <w:name w:val="正文文本 3 Char"/>
    <w:link w:val="11"/>
    <w:semiHidden/>
    <w:qFormat/>
    <w:uiPriority w:val="99"/>
    <w:rPr>
      <w:sz w:val="16"/>
      <w:szCs w:val="16"/>
    </w:rPr>
  </w:style>
  <w:style w:type="character" w:customStyle="1" w:styleId="52">
    <w:name w:val="正文文本 3 Char1"/>
    <w:qFormat/>
    <w:uiPriority w:val="99"/>
    <w:rPr>
      <w:kern w:val="2"/>
      <w:sz w:val="16"/>
    </w:rPr>
  </w:style>
  <w:style w:type="character" w:customStyle="1" w:styleId="53">
    <w:name w:val="标题 1 Char"/>
    <w:qFormat/>
    <w:uiPriority w:val="99"/>
    <w:rPr>
      <w:b/>
      <w:kern w:val="44"/>
      <w:sz w:val="44"/>
    </w:rPr>
  </w:style>
  <w:style w:type="paragraph" w:customStyle="1" w:styleId="54">
    <w:name w:val="Char Char Char Char Char Char Char Char Char Char Char Char Char Char Char Char"/>
    <w:basedOn w:val="9"/>
    <w:semiHidden/>
    <w:qFormat/>
    <w:uiPriority w:val="99"/>
    <w:pPr>
      <w:shd w:val="clear" w:color="auto" w:fill="000080"/>
      <w:spacing w:line="360" w:lineRule="auto"/>
      <w:ind w:firstLine="200" w:firstLineChars="200"/>
    </w:pPr>
    <w:rPr>
      <w:rFonts w:ascii="Tahoma" w:hAnsi="Tahoma"/>
      <w:sz w:val="24"/>
      <w:szCs w:val="24"/>
    </w:rPr>
  </w:style>
  <w:style w:type="character" w:customStyle="1" w:styleId="55">
    <w:name w:val="文档结构图 Char"/>
    <w:link w:val="9"/>
    <w:qFormat/>
    <w:locked/>
    <w:uiPriority w:val="99"/>
    <w:rPr>
      <w:rFonts w:ascii="宋体"/>
      <w:sz w:val="18"/>
    </w:rPr>
  </w:style>
  <w:style w:type="character" w:customStyle="1" w:styleId="56">
    <w:name w:val="Plain Text Char"/>
    <w:qFormat/>
    <w:locked/>
    <w:uiPriority w:val="99"/>
    <w:rPr>
      <w:rFonts w:ascii="宋体" w:hAnsi="Courier New"/>
      <w:kern w:val="2"/>
      <w:sz w:val="21"/>
    </w:rPr>
  </w:style>
  <w:style w:type="character" w:customStyle="1" w:styleId="57">
    <w:name w:val="正文缩进 Char"/>
    <w:link w:val="8"/>
    <w:qFormat/>
    <w:locked/>
    <w:uiPriority w:val="99"/>
    <w:rPr>
      <w:rFonts w:ascii="宋体" w:eastAsia="宋体"/>
      <w:kern w:val="2"/>
      <w:sz w:val="21"/>
    </w:rPr>
  </w:style>
  <w:style w:type="paragraph" w:customStyle="1" w:styleId="58">
    <w:name w:val="Char4"/>
    <w:basedOn w:val="1"/>
    <w:qFormat/>
    <w:uiPriority w:val="99"/>
    <w:pPr>
      <w:tabs>
        <w:tab w:val="left" w:pos="360"/>
      </w:tabs>
      <w:ind w:left="360" w:hanging="360" w:hangingChars="200"/>
    </w:pPr>
  </w:style>
  <w:style w:type="character" w:customStyle="1" w:styleId="59">
    <w:name w:val="纯文本 Char"/>
    <w:link w:val="15"/>
    <w:semiHidden/>
    <w:qFormat/>
    <w:uiPriority w:val="99"/>
    <w:rPr>
      <w:rFonts w:ascii="宋体" w:hAnsi="Courier New" w:cs="Courier New"/>
      <w:szCs w:val="21"/>
    </w:rPr>
  </w:style>
  <w:style w:type="character" w:customStyle="1" w:styleId="60">
    <w:name w:val="纯文本 Char1"/>
    <w:qFormat/>
    <w:uiPriority w:val="99"/>
    <w:rPr>
      <w:rFonts w:ascii="宋体" w:hAnsi="Courier New"/>
      <w:kern w:val="2"/>
      <w:sz w:val="21"/>
    </w:rPr>
  </w:style>
  <w:style w:type="paragraph" w:customStyle="1" w:styleId="61">
    <w:name w:val="flNote"/>
    <w:basedOn w:val="1"/>
    <w:qFormat/>
    <w:uiPriority w:val="99"/>
    <w:pPr>
      <w:adjustRightInd w:val="0"/>
      <w:spacing w:before="320" w:after="160" w:line="360" w:lineRule="atLeast"/>
      <w:jc w:val="center"/>
      <w:textAlignment w:val="baseline"/>
    </w:pPr>
    <w:rPr>
      <w:rFonts w:ascii="Arial" w:eastAsia="黑体"/>
      <w:kern w:val="0"/>
      <w:sz w:val="30"/>
      <w:szCs w:val="20"/>
    </w:rPr>
  </w:style>
  <w:style w:type="character" w:customStyle="1" w:styleId="62">
    <w:name w:val="Body Text Char"/>
    <w:qFormat/>
    <w:locked/>
    <w:uiPriority w:val="99"/>
    <w:rPr>
      <w:kern w:val="2"/>
      <w:sz w:val="24"/>
    </w:rPr>
  </w:style>
  <w:style w:type="character" w:customStyle="1" w:styleId="63">
    <w:name w:val="正文文本 Char"/>
    <w:link w:val="12"/>
    <w:semiHidden/>
    <w:qFormat/>
    <w:uiPriority w:val="99"/>
    <w:rPr>
      <w:szCs w:val="24"/>
    </w:rPr>
  </w:style>
  <w:style w:type="character" w:customStyle="1" w:styleId="64">
    <w:name w:val="正文文本 Char1"/>
    <w:qFormat/>
    <w:uiPriority w:val="99"/>
    <w:rPr>
      <w:kern w:val="2"/>
      <w:sz w:val="24"/>
    </w:rPr>
  </w:style>
  <w:style w:type="character" w:customStyle="1" w:styleId="65">
    <w:name w:val="批注框文本 Char"/>
    <w:link w:val="18"/>
    <w:qFormat/>
    <w:locked/>
    <w:uiPriority w:val="99"/>
    <w:rPr>
      <w:kern w:val="2"/>
      <w:sz w:val="18"/>
    </w:rPr>
  </w:style>
  <w:style w:type="paragraph" w:customStyle="1" w:styleId="66">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68">
    <w:name w:val="无间隔1"/>
    <w:qFormat/>
    <w:uiPriority w:val="99"/>
    <w:pPr>
      <w:widowControl w:val="0"/>
      <w:jc w:val="both"/>
    </w:pPr>
    <w:rPr>
      <w:rFonts w:ascii="Times New Roman" w:hAnsi="Times New Roman" w:eastAsia="宋体" w:cs="Times New Roman"/>
      <w:kern w:val="2"/>
      <w:sz w:val="28"/>
      <w:lang w:val="en-US" w:eastAsia="zh-CN" w:bidi="ar-SA"/>
    </w:rPr>
  </w:style>
  <w:style w:type="character" w:customStyle="1" w:styleId="69">
    <w:name w:val="正文文本缩进 2 Char"/>
    <w:link w:val="17"/>
    <w:qFormat/>
    <w:locked/>
    <w:uiPriority w:val="99"/>
    <w:rPr>
      <w:kern w:val="2"/>
      <w:sz w:val="28"/>
    </w:rPr>
  </w:style>
  <w:style w:type="paragraph" w:customStyle="1" w:styleId="70">
    <w:name w:val="Default"/>
    <w:qFormat/>
    <w:uiPriority w:val="99"/>
    <w:pPr>
      <w:widowControl w:val="0"/>
      <w:autoSpaceDE w:val="0"/>
      <w:autoSpaceDN w:val="0"/>
      <w:adjustRightInd w:val="0"/>
    </w:pPr>
    <w:rPr>
      <w:rFonts w:ascii="楷体_GB2312" w:hAnsi="宋体" w:eastAsia="楷体_GB2312" w:cs="楷体_GB2312"/>
      <w:color w:val="000000"/>
      <w:sz w:val="24"/>
      <w:szCs w:val="24"/>
      <w:lang w:val="en-US" w:eastAsia="zh-CN" w:bidi="ar-SA"/>
    </w:rPr>
  </w:style>
  <w:style w:type="character" w:customStyle="1" w:styleId="71">
    <w:name w:val="标题 Char"/>
    <w:link w:val="4"/>
    <w:qFormat/>
    <w:locked/>
    <w:uiPriority w:val="99"/>
    <w:rPr>
      <w:rFonts w:ascii="Cambria" w:hAnsi="Cambria"/>
      <w:b/>
      <w:kern w:val="2"/>
      <w:sz w:val="32"/>
    </w:rPr>
  </w:style>
  <w:style w:type="character" w:customStyle="1" w:styleId="72">
    <w:name w:val="批注文字 Char"/>
    <w:link w:val="10"/>
    <w:qFormat/>
    <w:locked/>
    <w:uiPriority w:val="99"/>
    <w:rPr>
      <w:kern w:val="2"/>
      <w:sz w:val="24"/>
    </w:rPr>
  </w:style>
  <w:style w:type="character" w:customStyle="1" w:styleId="73">
    <w:name w:val="批注主题 Char"/>
    <w:link w:val="24"/>
    <w:qFormat/>
    <w:locked/>
    <w:uiPriority w:val="99"/>
    <w:rPr>
      <w:b/>
      <w:kern w:val="2"/>
      <w:sz w:val="24"/>
    </w:rPr>
  </w:style>
  <w:style w:type="character" w:customStyle="1" w:styleId="74">
    <w:name w:val="批注文字 Char1"/>
    <w:qFormat/>
    <w:uiPriority w:val="99"/>
    <w:rPr>
      <w:kern w:val="2"/>
      <w:sz w:val="24"/>
    </w:rPr>
  </w:style>
  <w:style w:type="character" w:customStyle="1" w:styleId="75">
    <w:name w:val="ico-jiang"/>
    <w:basedOn w:val="27"/>
    <w:qFormat/>
    <w:uiPriority w:val="0"/>
  </w:style>
  <w:style w:type="character" w:customStyle="1" w:styleId="76">
    <w:name w:val="ico-jiang1"/>
    <w:basedOn w:val="27"/>
    <w:qFormat/>
    <w:uiPriority w:val="0"/>
  </w:style>
  <w:style w:type="character" w:customStyle="1" w:styleId="77">
    <w:name w:val="top-icon"/>
    <w:basedOn w:val="27"/>
    <w:qFormat/>
    <w:uiPriority w:val="0"/>
  </w:style>
  <w:style w:type="character" w:customStyle="1" w:styleId="78">
    <w:name w:val="tip"/>
    <w:basedOn w:val="27"/>
    <w:qFormat/>
    <w:uiPriority w:val="0"/>
    <w:rPr>
      <w:vanish/>
      <w:color w:val="FF0000"/>
      <w:sz w:val="18"/>
      <w:szCs w:val="18"/>
    </w:rPr>
  </w:style>
  <w:style w:type="character" w:customStyle="1" w:styleId="79">
    <w:name w:val="f-star"/>
    <w:basedOn w:val="27"/>
    <w:qFormat/>
    <w:uiPriority w:val="0"/>
    <w:rPr>
      <w:color w:val="999999"/>
      <w:sz w:val="21"/>
      <w:szCs w:val="21"/>
    </w:rPr>
  </w:style>
  <w:style w:type="character" w:customStyle="1" w:styleId="80">
    <w:name w:val="my-notice"/>
    <w:basedOn w:val="27"/>
    <w:qFormat/>
    <w:uiPriority w:val="0"/>
  </w:style>
  <w:style w:type="character" w:customStyle="1" w:styleId="81">
    <w:name w:val="ui-bz-bg-hover"/>
    <w:basedOn w:val="27"/>
    <w:qFormat/>
    <w:uiPriority w:val="0"/>
    <w:rPr>
      <w:shd w:val="clear" w:color="auto" w:fill="000000"/>
    </w:rPr>
  </w:style>
  <w:style w:type="character" w:customStyle="1" w:styleId="82">
    <w:name w:val="ui-bz-bg-hover1"/>
    <w:basedOn w:val="27"/>
    <w:qFormat/>
    <w:uiPriority w:val="0"/>
  </w:style>
  <w:style w:type="character" w:customStyle="1" w:styleId="83">
    <w:name w:val="bds_nopic"/>
    <w:basedOn w:val="27"/>
    <w:qFormat/>
    <w:uiPriority w:val="0"/>
  </w:style>
  <w:style w:type="character" w:customStyle="1" w:styleId="84">
    <w:name w:val="bds_nopic1"/>
    <w:basedOn w:val="27"/>
    <w:qFormat/>
    <w:uiPriority w:val="0"/>
  </w:style>
  <w:style w:type="character" w:customStyle="1" w:styleId="85">
    <w:name w:val="no7"/>
    <w:basedOn w:val="27"/>
    <w:qFormat/>
    <w:uiPriority w:val="0"/>
  </w:style>
  <w:style w:type="character" w:customStyle="1" w:styleId="86">
    <w:name w:val="no6"/>
    <w:basedOn w:val="27"/>
    <w:qFormat/>
    <w:uiPriority w:val="0"/>
  </w:style>
  <w:style w:type="character" w:customStyle="1" w:styleId="87">
    <w:name w:val="no42"/>
    <w:basedOn w:val="27"/>
    <w:qFormat/>
    <w:uiPriority w:val="0"/>
  </w:style>
  <w:style w:type="character" w:customStyle="1" w:styleId="88">
    <w:name w:val="no52"/>
    <w:basedOn w:val="27"/>
    <w:qFormat/>
    <w:uiPriority w:val="0"/>
  </w:style>
  <w:style w:type="character" w:customStyle="1" w:styleId="89">
    <w:name w:val="my-class"/>
    <w:basedOn w:val="27"/>
    <w:qFormat/>
    <w:uiPriority w:val="0"/>
  </w:style>
  <w:style w:type="character" w:customStyle="1" w:styleId="90">
    <w:name w:val="bds_more"/>
    <w:basedOn w:val="27"/>
    <w:qFormat/>
    <w:uiPriority w:val="0"/>
  </w:style>
  <w:style w:type="character" w:customStyle="1" w:styleId="91">
    <w:name w:val="bds_more1"/>
    <w:basedOn w:val="27"/>
    <w:qFormat/>
    <w:uiPriority w:val="0"/>
    <w:rPr>
      <w:rFonts w:hint="eastAsia" w:ascii="宋体" w:hAnsi="宋体" w:eastAsia="宋体" w:cs="宋体"/>
    </w:rPr>
  </w:style>
  <w:style w:type="character" w:customStyle="1" w:styleId="92">
    <w:name w:val="bds_more2"/>
    <w:basedOn w:val="27"/>
    <w:qFormat/>
    <w:uiPriority w:val="0"/>
    <w:rPr>
      <w:rFonts w:ascii="宋体 ! important" w:hAnsi="宋体 ! important" w:eastAsia="宋体 ! important" w:cs="宋体 ! important"/>
      <w:color w:val="454545"/>
      <w:sz w:val="18"/>
      <w:szCs w:val="18"/>
    </w:rPr>
  </w:style>
  <w:style w:type="character" w:customStyle="1" w:styleId="93">
    <w:name w:val="t-tag"/>
    <w:basedOn w:val="27"/>
    <w:qFormat/>
    <w:uiPriority w:val="0"/>
    <w:rPr>
      <w:color w:val="FFFFFF"/>
      <w:sz w:val="18"/>
      <w:szCs w:val="18"/>
      <w:shd w:val="clear" w:color="auto" w:fill="FE8833"/>
    </w:rPr>
  </w:style>
  <w:style w:type="character" w:customStyle="1" w:styleId="94">
    <w:name w:val="org_name2"/>
    <w:basedOn w:val="27"/>
    <w:qFormat/>
    <w:uiPriority w:val="0"/>
  </w:style>
  <w:style w:type="character" w:customStyle="1" w:styleId="95">
    <w:name w:val="orange6"/>
    <w:basedOn w:val="27"/>
    <w:qFormat/>
    <w:uiPriority w:val="0"/>
    <w:rPr>
      <w:color w:val="3FB58F"/>
    </w:rPr>
  </w:style>
  <w:style w:type="character" w:customStyle="1" w:styleId="96">
    <w:name w:val="no72"/>
    <w:basedOn w:val="27"/>
    <w:qFormat/>
    <w:uiPriority w:val="0"/>
  </w:style>
  <w:style w:type="character" w:customStyle="1" w:styleId="97">
    <w:name w:val="orange"/>
    <w:basedOn w:val="27"/>
    <w:qFormat/>
    <w:uiPriority w:val="0"/>
    <w:rPr>
      <w:color w:val="3FB58F"/>
    </w:rPr>
  </w:style>
  <w:style w:type="character" w:customStyle="1" w:styleId="98">
    <w:name w:val="no62"/>
    <w:basedOn w:val="27"/>
    <w:qFormat/>
    <w:uiPriority w:val="0"/>
  </w:style>
  <w:style w:type="character" w:customStyle="1" w:styleId="99">
    <w:name w:val="tip10"/>
    <w:basedOn w:val="27"/>
    <w:qFormat/>
    <w:uiPriority w:val="0"/>
    <w:rPr>
      <w:vanish/>
      <w:color w:val="FF0000"/>
      <w:sz w:val="18"/>
      <w:szCs w:val="18"/>
    </w:rPr>
  </w:style>
  <w:style w:type="character" w:customStyle="1" w:styleId="100">
    <w:name w:val="org_name"/>
    <w:basedOn w:val="27"/>
    <w:qFormat/>
    <w:uiPriority w:val="0"/>
  </w:style>
  <w:style w:type="character" w:customStyle="1" w:styleId="101">
    <w:name w:val="bds_nopic2"/>
    <w:basedOn w:val="27"/>
    <w:qFormat/>
    <w:uiPriority w:val="0"/>
  </w:style>
  <w:style w:type="character" w:customStyle="1" w:styleId="102">
    <w:name w:val="my-notice1"/>
    <w:basedOn w:val="27"/>
    <w:qFormat/>
    <w:uiPriority w:val="0"/>
  </w:style>
  <w:style w:type="character" w:customStyle="1" w:styleId="103">
    <w:name w:val="tip9"/>
    <w:basedOn w:val="27"/>
    <w:qFormat/>
    <w:uiPriority w:val="0"/>
    <w:rPr>
      <w:vanish/>
      <w:color w:val="FF0000"/>
      <w:sz w:val="18"/>
      <w:szCs w:val="18"/>
    </w:rPr>
  </w:style>
  <w:style w:type="character" w:customStyle="1" w:styleId="104">
    <w:name w:val="no5"/>
    <w:basedOn w:val="27"/>
    <w:qFormat/>
    <w:uiPriority w:val="0"/>
  </w:style>
  <w:style w:type="paragraph" w:customStyle="1" w:styleId="105">
    <w:name w:val="图表文字"/>
    <w:basedOn w:val="1"/>
    <w:next w:val="1"/>
    <w:qFormat/>
    <w:uiPriority w:val="0"/>
    <w:pPr>
      <w:spacing w:line="320" w:lineRule="exact"/>
      <w:jc w:val="center"/>
    </w:pPr>
    <w:rPr>
      <w:rFonts w:cs="宋体"/>
    </w:rPr>
  </w:style>
  <w:style w:type="paragraph" w:styleId="106">
    <w:name w:val="List Paragraph"/>
    <w:basedOn w:val="1"/>
    <w:qFormat/>
    <w:uiPriority w:val="34"/>
    <w:pPr>
      <w:tabs>
        <w:tab w:val="left" w:pos="547"/>
        <w:tab w:val="left" w:pos="1080"/>
      </w:tabs>
      <w:ind w:firstLine="420" w:firstLineChars="200"/>
    </w:pPr>
  </w:style>
  <w:style w:type="paragraph" w:customStyle="1" w:styleId="10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正文内容"/>
    <w:qFormat/>
    <w:uiPriority w:val="0"/>
    <w:pPr>
      <w:spacing w:line="300" w:lineRule="auto"/>
      <w:ind w:firstLine="420"/>
    </w:pPr>
    <w:rPr>
      <w:rFonts w:ascii="宋体" w:hAnsi="Calibri" w:eastAsia="宋体" w:cs="Times New Roman"/>
      <w:sz w:val="21"/>
      <w:lang w:val="en-US" w:eastAsia="zh-CN" w:bidi="ar-SA"/>
    </w:rPr>
  </w:style>
  <w:style w:type="paragraph" w:customStyle="1" w:styleId="10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0">
    <w:name w:val="二级条标题"/>
    <w:basedOn w:val="111"/>
    <w:next w:val="109"/>
    <w:qFormat/>
    <w:uiPriority w:val="0"/>
    <w:pPr>
      <w:numPr>
        <w:ilvl w:val="3"/>
        <w:numId w:val="1"/>
      </w:numPr>
      <w:outlineLvl w:val="3"/>
    </w:pPr>
  </w:style>
  <w:style w:type="paragraph" w:customStyle="1" w:styleId="111">
    <w:name w:val="一级条标题"/>
    <w:basedOn w:val="112"/>
    <w:next w:val="109"/>
    <w:qFormat/>
    <w:uiPriority w:val="0"/>
    <w:pPr>
      <w:numPr>
        <w:ilvl w:val="2"/>
        <w:numId w:val="1"/>
      </w:numPr>
      <w:spacing w:before="0" w:beforeLines="0" w:after="0" w:afterLines="0"/>
      <w:outlineLvl w:val="2"/>
    </w:pPr>
  </w:style>
  <w:style w:type="paragraph" w:customStyle="1" w:styleId="112">
    <w:name w:val="章标题"/>
    <w:next w:val="109"/>
    <w:qFormat/>
    <w:uiPriority w:val="0"/>
    <w:pPr>
      <w:numPr>
        <w:ilvl w:val="1"/>
        <w:numId w:val="1"/>
      </w:numPr>
      <w:spacing w:before="156" w:beforeLines="50" w:after="156" w:afterLines="50"/>
      <w:jc w:val="both"/>
      <w:outlineLvl w:val="1"/>
    </w:pPr>
    <w:rPr>
      <w:rFonts w:ascii="黑体" w:hAnsi="Times New Roman" w:eastAsia="黑体" w:cs="Times New Roman"/>
      <w:sz w:val="21"/>
      <w:lang w:val="en-US" w:eastAsia="zh-CN" w:bidi="ar-SA"/>
    </w:rPr>
  </w:style>
  <w:style w:type="paragraph" w:customStyle="1" w:styleId="113">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4">
    <w:name w:val="RR3"/>
    <w:basedOn w:val="1"/>
    <w:qFormat/>
    <w:uiPriority w:val="0"/>
    <w:pPr>
      <w:tabs>
        <w:tab w:val="left" w:pos="312"/>
      </w:tabs>
      <w:spacing w:line="440" w:lineRule="exact"/>
      <w:jc w:val="left"/>
    </w:pPr>
    <w:rPr>
      <w:rFonts w:ascii="仿宋_GB2312" w:hAnsi="宋体" w:eastAsia="仿宋_GB2312"/>
      <w:sz w:val="24"/>
      <w:szCs w:val="24"/>
    </w:rPr>
  </w:style>
  <w:style w:type="paragraph" w:customStyle="1" w:styleId="115">
    <w:name w:val="No Spacing"/>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Table Paragraph"/>
    <w:basedOn w:val="1"/>
    <w:qFormat/>
    <w:uiPriority w:val="1"/>
    <w:rPr>
      <w:rFonts w:ascii="宋体" w:hAnsi="宋体" w:eastAsia="宋体" w:cs="宋体"/>
      <w:lang w:val="zh-CN" w:eastAsia="zh-CN" w:bidi="zh-CN"/>
    </w:rPr>
  </w:style>
  <w:style w:type="paragraph" w:customStyle="1" w:styleId="117">
    <w:name w:val="无间隔4"/>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1821D-11B4-46B7-A21F-EBCD020FF4F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7356</Words>
  <Characters>8250</Characters>
  <Lines>67</Lines>
  <Paragraphs>19</Paragraphs>
  <TotalTime>10</TotalTime>
  <ScaleCrop>false</ScaleCrop>
  <LinksUpToDate>false</LinksUpToDate>
  <CharactersWithSpaces>9179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2015-06-08T01:41:00Z</dcterms:created>
  <dc:creator>微软用户</dc:creator>
  <cp:lastModifiedBy>Administrator</cp:lastModifiedBy>
  <cp:lastPrinted>2022-02-14T03:32:21Z</cp:lastPrinted>
  <dcterms:modified xsi:type="dcterms:W3CDTF">2022-02-14T03:36:52Z</dcterms:modified>
  <dc:title>材料邀标书</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37219B6E973946B395B58A221F01A5BB</vt:lpwstr>
  </property>
</Properties>
</file>