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4"/>
        <w:autoSpaceDE w:val="0"/>
        <w:autoSpaceDN w:val="0"/>
        <w:spacing w:before="132" w:line="500" w:lineRule="exact"/>
        <w:ind w:left="1567" w:hanging="1567" w:hangingChars="494"/>
        <w:rPr>
          <w:rFonts w:ascii="楷体" w:hAnsi="楷体" w:eastAsia="楷体"/>
          <w:b/>
          <w:color w:val="auto"/>
          <w:sz w:val="32"/>
          <w:szCs w:val="32"/>
        </w:rPr>
      </w:pPr>
      <w:r>
        <w:rPr>
          <w:rFonts w:hint="eastAsia" w:ascii="楷体" w:hAnsi="楷体" w:eastAsia="楷体" w:cs="楷体"/>
          <w:b/>
          <w:color w:val="auto"/>
          <w:spacing w:val="-2"/>
          <w:kern w:val="10"/>
          <w:sz w:val="32"/>
          <w:szCs w:val="32"/>
        </w:rPr>
        <w:t>项目名称：重庆</w:t>
      </w:r>
      <w:r>
        <w:rPr>
          <w:rFonts w:hint="eastAsia" w:ascii="楷体" w:hAnsi="楷体" w:eastAsia="楷体" w:cs="楷体"/>
          <w:b/>
          <w:color w:val="auto"/>
          <w:sz w:val="32"/>
          <w:szCs w:val="32"/>
        </w:rPr>
        <w:t>机电控股（集团）公司</w:t>
      </w:r>
      <w:r>
        <w:rPr>
          <w:rFonts w:hint="eastAsia" w:ascii="楷体" w:hAnsi="楷体" w:eastAsia="楷体" w:cs="楷体"/>
          <w:b/>
          <w:color w:val="auto"/>
          <w:sz w:val="32"/>
          <w:szCs w:val="32"/>
          <w:lang w:eastAsia="zh-CN"/>
        </w:rPr>
        <w:t>及所属企业</w:t>
      </w:r>
      <w:r>
        <w:rPr>
          <w:rFonts w:hint="eastAsia" w:ascii="楷体" w:hAnsi="楷体" w:eastAsia="楷体" w:cs="楷体"/>
          <w:b/>
          <w:color w:val="auto"/>
          <w:sz w:val="32"/>
          <w:szCs w:val="32"/>
        </w:rPr>
        <w:t>2022年二、三、四季度</w:t>
      </w:r>
      <w:r>
        <w:rPr>
          <w:rFonts w:ascii="楷体" w:hAnsi="楷体" w:eastAsia="楷体"/>
          <w:b/>
          <w:color w:val="auto"/>
          <w:sz w:val="32"/>
          <w:szCs w:val="32"/>
        </w:rPr>
        <w:t>电力</w:t>
      </w:r>
      <w:r>
        <w:rPr>
          <w:rFonts w:hint="eastAsia" w:ascii="楷体" w:hAnsi="楷体" w:eastAsia="楷体"/>
          <w:b/>
          <w:color w:val="auto"/>
          <w:sz w:val="32"/>
          <w:szCs w:val="32"/>
          <w:lang w:eastAsia="zh-CN"/>
        </w:rPr>
        <w:t>市场化</w:t>
      </w:r>
      <w:r>
        <w:rPr>
          <w:rFonts w:ascii="楷体" w:hAnsi="楷体" w:eastAsia="楷体"/>
          <w:b/>
          <w:color w:val="auto"/>
          <w:sz w:val="32"/>
          <w:szCs w:val="32"/>
        </w:rPr>
        <w:t>交易</w:t>
      </w:r>
      <w:r>
        <w:rPr>
          <w:rFonts w:ascii="楷体" w:hAnsi="楷体" w:eastAsia="楷体"/>
          <w:b/>
          <w:color w:val="auto"/>
          <w:sz w:val="32"/>
          <w:szCs w:val="32"/>
        </w:rPr>
        <w:t>（含政府基金附加</w:t>
      </w:r>
      <w:r>
        <w:rPr>
          <w:rFonts w:hint="eastAsia" w:ascii="楷体" w:hAnsi="楷体" w:eastAsia="楷体"/>
          <w:b/>
          <w:color w:val="auto"/>
          <w:sz w:val="32"/>
          <w:szCs w:val="32"/>
          <w:lang w:eastAsia="zh-CN"/>
        </w:rPr>
        <w:t>、</w:t>
      </w:r>
      <w:r>
        <w:rPr>
          <w:rFonts w:ascii="楷体" w:hAnsi="楷体" w:eastAsia="楷体"/>
          <w:b/>
          <w:color w:val="auto"/>
          <w:sz w:val="32"/>
          <w:szCs w:val="32"/>
        </w:rPr>
        <w:t>输配电</w:t>
      </w:r>
      <w:r>
        <w:rPr>
          <w:rFonts w:hint="eastAsia" w:ascii="楷体" w:hAnsi="楷体" w:eastAsia="楷体"/>
          <w:b/>
          <w:color w:val="auto"/>
          <w:sz w:val="32"/>
          <w:szCs w:val="32"/>
          <w:lang w:eastAsia="zh-CN"/>
        </w:rPr>
        <w:t>、</w:t>
      </w:r>
      <w:r>
        <w:rPr>
          <w:rFonts w:hint="eastAsia" w:ascii="楷体" w:hAnsi="楷体" w:eastAsia="楷体"/>
          <w:b/>
          <w:color w:val="auto"/>
          <w:sz w:val="32"/>
          <w:szCs w:val="32"/>
          <w:lang w:eastAsia="zh-CN"/>
        </w:rPr>
        <w:t>辅助服务费</w:t>
      </w:r>
      <w:r>
        <w:rPr>
          <w:rFonts w:ascii="楷体" w:hAnsi="楷体" w:eastAsia="楷体"/>
          <w:b/>
          <w:color w:val="auto"/>
          <w:sz w:val="32"/>
          <w:szCs w:val="32"/>
        </w:rPr>
        <w:t>）</w:t>
      </w:r>
      <w:r>
        <w:rPr>
          <w:rFonts w:hint="eastAsia" w:ascii="楷体" w:hAnsi="楷体" w:eastAsia="楷体"/>
          <w:b/>
          <w:color w:val="auto"/>
          <w:sz w:val="32"/>
          <w:szCs w:val="32"/>
          <w:lang w:eastAsia="zh-CN"/>
        </w:rPr>
        <w:t>集中采购</w:t>
      </w:r>
      <w:r>
        <w:rPr>
          <w:rFonts w:hint="eastAsia" w:ascii="楷体" w:hAnsi="楷体" w:eastAsia="楷体" w:cs="楷体"/>
          <w:b/>
          <w:color w:val="auto"/>
          <w:sz w:val="32"/>
          <w:szCs w:val="32"/>
        </w:rPr>
        <w:t>公开招标</w:t>
      </w:r>
    </w:p>
    <w:p>
      <w:pPr>
        <w:autoSpaceDE w:val="0"/>
        <w:autoSpaceDN w:val="0"/>
        <w:spacing w:before="132" w:line="500" w:lineRule="exact"/>
        <w:rPr>
          <w:rFonts w:ascii="楷体" w:hAnsi="楷体" w:eastAsia="楷体" w:cs="楷体"/>
          <w:b/>
          <w:color w:val="auto"/>
          <w:spacing w:val="-2"/>
          <w:kern w:val="10"/>
          <w:sz w:val="32"/>
          <w:szCs w:val="32"/>
        </w:rPr>
      </w:pPr>
      <w:r>
        <w:rPr>
          <w:rFonts w:hint="eastAsia" w:ascii="楷体" w:hAnsi="楷体" w:eastAsia="楷体" w:cs="楷体"/>
          <w:b/>
          <w:color w:val="auto"/>
          <w:spacing w:val="-2"/>
          <w:kern w:val="10"/>
          <w:sz w:val="32"/>
          <w:szCs w:val="32"/>
        </w:rPr>
        <w:t>项目编号</w:t>
      </w:r>
      <w:r>
        <w:rPr>
          <w:rFonts w:hint="eastAsia" w:ascii="楷体" w:hAnsi="楷体" w:eastAsia="楷体" w:cs="楷体"/>
          <w:b/>
          <w:color w:val="auto"/>
          <w:spacing w:val="-2"/>
          <w:kern w:val="10"/>
          <w:sz w:val="32"/>
          <w:szCs w:val="32"/>
        </w:rPr>
        <w:t>：SPWZ2022-06</w:t>
      </w:r>
    </w:p>
    <w:p>
      <w:pPr>
        <w:pStyle w:val="4"/>
        <w:spacing w:line="800" w:lineRule="exact"/>
        <w:rPr>
          <w:rFonts w:ascii="仿宋_GB2312"/>
          <w:b/>
          <w:color w:val="auto"/>
          <w:kern w:val="10"/>
          <w:sz w:val="48"/>
        </w:rPr>
      </w:pPr>
    </w:p>
    <w:p>
      <w:pPr>
        <w:pStyle w:val="4"/>
        <w:spacing w:line="800" w:lineRule="exact"/>
        <w:jc w:val="center"/>
        <w:rPr>
          <w:rFonts w:ascii="仿宋_GB2312"/>
          <w:b/>
          <w:color w:val="auto"/>
          <w:kern w:val="10"/>
          <w:sz w:val="48"/>
        </w:rPr>
      </w:pPr>
    </w:p>
    <w:p>
      <w:pPr>
        <w:pStyle w:val="4"/>
        <w:spacing w:line="800" w:lineRule="exact"/>
        <w:jc w:val="center"/>
        <w:rPr>
          <w:rFonts w:ascii="仿宋_GB2312"/>
          <w:b/>
          <w:color w:val="auto"/>
          <w:kern w:val="10"/>
          <w:sz w:val="48"/>
        </w:rPr>
      </w:pPr>
    </w:p>
    <w:p>
      <w:pPr>
        <w:pStyle w:val="4"/>
        <w:spacing w:line="800" w:lineRule="exact"/>
        <w:jc w:val="center"/>
        <w:rPr>
          <w:rFonts w:ascii="仿宋_GB2312"/>
          <w:b/>
          <w:color w:val="auto"/>
          <w:kern w:val="10"/>
          <w:sz w:val="48"/>
        </w:rPr>
      </w:pPr>
    </w:p>
    <w:p>
      <w:pPr>
        <w:jc w:val="center"/>
        <w:rPr>
          <w:rFonts w:ascii="黑体" w:hAnsi="黑体" w:eastAsia="黑体"/>
          <w:b/>
          <w:color w:val="auto"/>
          <w:spacing w:val="60"/>
          <w:sz w:val="84"/>
          <w:szCs w:val="84"/>
        </w:rPr>
      </w:pPr>
      <w:r>
        <w:rPr>
          <w:rFonts w:hint="eastAsia" w:ascii="黑体" w:hAnsi="黑体" w:eastAsia="黑体"/>
          <w:b/>
          <w:color w:val="auto"/>
          <w:spacing w:val="60"/>
          <w:sz w:val="84"/>
          <w:szCs w:val="84"/>
        </w:rPr>
        <w:t>招标文件</w:t>
      </w:r>
    </w:p>
    <w:p>
      <w:pPr>
        <w:jc w:val="center"/>
        <w:rPr>
          <w:rFonts w:eastAsia="隶书"/>
          <w:b/>
          <w:color w:val="auto"/>
          <w:sz w:val="84"/>
        </w:rPr>
      </w:pPr>
    </w:p>
    <w:p>
      <w:pPr>
        <w:jc w:val="center"/>
        <w:rPr>
          <w:rFonts w:eastAsia="隶书"/>
          <w:b/>
          <w:color w:val="auto"/>
          <w:sz w:val="84"/>
        </w:rPr>
      </w:pPr>
    </w:p>
    <w:p>
      <w:pPr>
        <w:rPr>
          <w:rFonts w:eastAsia="隶书"/>
          <w:b/>
          <w:color w:val="auto"/>
          <w:sz w:val="84"/>
        </w:rPr>
      </w:pPr>
    </w:p>
    <w:p>
      <w:pPr>
        <w:spacing w:line="520" w:lineRule="exact"/>
        <w:ind w:left="1005"/>
        <w:rPr>
          <w:b/>
          <w:color w:val="auto"/>
          <w:sz w:val="36"/>
        </w:rPr>
      </w:pPr>
    </w:p>
    <w:p>
      <w:pPr>
        <w:spacing w:line="720" w:lineRule="auto"/>
        <w:ind w:left="315" w:leftChars="150" w:firstLine="116" w:firstLineChars="32"/>
        <w:rPr>
          <w:rFonts w:ascii="仿宋_GB2312" w:eastAsia="仿宋_GB2312"/>
          <w:b/>
          <w:color w:val="auto"/>
          <w:sz w:val="36"/>
          <w:szCs w:val="36"/>
          <w:u w:val="single"/>
        </w:rPr>
      </w:pPr>
      <w:r>
        <w:rPr>
          <w:rFonts w:hint="eastAsia" w:ascii="仿宋_GB2312" w:eastAsia="仿宋_GB2312"/>
          <w:b/>
          <w:color w:val="auto"/>
          <w:sz w:val="36"/>
          <w:szCs w:val="36"/>
        </w:rPr>
        <w:t>招标人：</w:t>
      </w:r>
      <w:r>
        <w:rPr>
          <w:rFonts w:hint="eastAsia" w:ascii="仿宋_GB2312" w:eastAsia="仿宋_GB2312"/>
          <w:b/>
          <w:color w:val="auto"/>
          <w:sz w:val="36"/>
          <w:szCs w:val="36"/>
          <w:u w:val="single"/>
        </w:rPr>
        <w:t xml:space="preserve">重庆盛普物资有限公司 </w:t>
      </w:r>
      <w:r>
        <w:rPr>
          <w:rFonts w:hint="eastAsia" w:ascii="仿宋_GB2312" w:eastAsia="仿宋_GB2312"/>
          <w:b/>
          <w:color w:val="auto"/>
          <w:sz w:val="36"/>
          <w:szCs w:val="36"/>
        </w:rPr>
        <w:t>（盖章）</w:t>
      </w:r>
    </w:p>
    <w:p>
      <w:pPr>
        <w:pStyle w:val="4"/>
        <w:jc w:val="center"/>
        <w:rPr>
          <w:b/>
          <w:color w:val="auto"/>
          <w:sz w:val="36"/>
          <w:szCs w:val="36"/>
        </w:rPr>
      </w:pPr>
      <w:r>
        <w:rPr>
          <w:rFonts w:hint="eastAsia"/>
          <w:b/>
          <w:color w:val="auto"/>
          <w:sz w:val="36"/>
          <w:szCs w:val="36"/>
        </w:rPr>
        <w:t>2022年03月02日</w:t>
      </w:r>
    </w:p>
    <w:p>
      <w:pPr>
        <w:rPr>
          <w:color w:val="auto"/>
        </w:rPr>
      </w:pPr>
    </w:p>
    <w:p>
      <w:pPr>
        <w:spacing w:line="620" w:lineRule="exact"/>
        <w:rPr>
          <w:rFonts w:ascii="仿宋_GB2312" w:hAnsi="宋体" w:eastAsia="仿宋_GB2312"/>
          <w:color w:val="auto"/>
          <w:sz w:val="28"/>
          <w:szCs w:val="28"/>
        </w:rPr>
      </w:pPr>
    </w:p>
    <w:p>
      <w:pPr>
        <w:spacing w:line="620" w:lineRule="exact"/>
        <w:rPr>
          <w:rFonts w:ascii="仿宋_GB2312" w:hAnsi="宋体" w:eastAsia="仿宋_GB2312"/>
          <w:color w:val="auto"/>
          <w:sz w:val="28"/>
          <w:szCs w:val="28"/>
        </w:rPr>
      </w:pPr>
    </w:p>
    <w:p>
      <w:pPr>
        <w:jc w:val="center"/>
        <w:rPr>
          <w:rFonts w:ascii="隶书" w:eastAsia="隶书"/>
          <w:b/>
          <w:color w:val="auto"/>
          <w:sz w:val="84"/>
          <w:szCs w:val="84"/>
        </w:rPr>
      </w:pPr>
      <w:r>
        <w:rPr>
          <w:rFonts w:hint="eastAsia" w:ascii="隶书" w:eastAsia="隶书"/>
          <w:b/>
          <w:color w:val="auto"/>
          <w:sz w:val="84"/>
          <w:szCs w:val="84"/>
        </w:rPr>
        <w:t>目  录</w:t>
      </w:r>
    </w:p>
    <w:p>
      <w:pPr>
        <w:spacing w:line="900" w:lineRule="exact"/>
        <w:ind w:left="315" w:leftChars="150" w:firstLine="361" w:firstLineChars="100"/>
        <w:rPr>
          <w:rFonts w:ascii="仿宋_GB2312" w:eastAsia="仿宋_GB2312"/>
          <w:b/>
          <w:color w:val="auto"/>
          <w:sz w:val="36"/>
          <w:szCs w:val="36"/>
        </w:rPr>
      </w:pPr>
    </w:p>
    <w:p>
      <w:pPr>
        <w:spacing w:line="900" w:lineRule="exact"/>
        <w:jc w:val="both"/>
        <w:rPr>
          <w:rFonts w:ascii="楷体" w:hAnsi="楷体" w:eastAsia="楷体"/>
          <w:b/>
          <w:color w:val="auto"/>
          <w:sz w:val="36"/>
          <w:szCs w:val="36"/>
        </w:rPr>
      </w:pPr>
      <w:r>
        <w:rPr>
          <w:rFonts w:hint="eastAsia" w:ascii="楷体" w:hAnsi="楷体" w:eastAsia="楷体"/>
          <w:b/>
          <w:color w:val="auto"/>
          <w:sz w:val="36"/>
          <w:szCs w:val="36"/>
        </w:rPr>
        <w:t>第一部分</w:t>
      </w:r>
      <w:r>
        <w:rPr>
          <w:rFonts w:ascii="楷体" w:hAnsi="楷体" w:eastAsia="楷体"/>
          <w:b/>
          <w:color w:val="auto"/>
          <w:sz w:val="36"/>
          <w:szCs w:val="36"/>
        </w:rPr>
        <w:t>…………………………………</w:t>
      </w:r>
      <w:r>
        <w:rPr>
          <w:rFonts w:hint="eastAsia" w:ascii="楷体" w:hAnsi="楷体" w:eastAsia="楷体"/>
          <w:b/>
          <w:color w:val="auto"/>
          <w:sz w:val="36"/>
          <w:szCs w:val="36"/>
        </w:rPr>
        <w:t>投标人须知</w:t>
      </w:r>
    </w:p>
    <w:p>
      <w:pPr>
        <w:spacing w:line="900" w:lineRule="exact"/>
        <w:ind w:firstLine="640" w:firstLineChars="200"/>
        <w:jc w:val="left"/>
        <w:rPr>
          <w:rFonts w:ascii="楷体" w:hAnsi="楷体" w:eastAsia="楷体"/>
          <w:b w:val="0"/>
          <w:bCs/>
          <w:color w:val="auto"/>
          <w:sz w:val="32"/>
          <w:szCs w:val="32"/>
        </w:rPr>
      </w:pPr>
      <w:r>
        <w:rPr>
          <w:rFonts w:hint="eastAsia" w:ascii="楷体" w:hAnsi="楷体" w:eastAsia="楷体"/>
          <w:b w:val="0"/>
          <w:bCs/>
          <w:color w:val="auto"/>
          <w:sz w:val="32"/>
          <w:szCs w:val="32"/>
        </w:rPr>
        <w:t>附件1</w:t>
      </w:r>
      <w:r>
        <w:rPr>
          <w:rFonts w:ascii="楷体" w:hAnsi="楷体" w:eastAsia="楷体"/>
          <w:b w:val="0"/>
          <w:bCs/>
          <w:color w:val="auto"/>
          <w:sz w:val="32"/>
          <w:szCs w:val="32"/>
        </w:rPr>
        <w:t>……………………………</w:t>
      </w:r>
      <w:r>
        <w:rPr>
          <w:rFonts w:hint="eastAsia" w:ascii="楷体" w:hAnsi="楷体" w:eastAsia="楷体"/>
          <w:b w:val="0"/>
          <w:bCs/>
          <w:color w:val="auto"/>
          <w:sz w:val="32"/>
          <w:szCs w:val="32"/>
        </w:rPr>
        <w:t>《投标人须知前附表》</w:t>
      </w:r>
    </w:p>
    <w:p>
      <w:pPr>
        <w:spacing w:line="900" w:lineRule="exact"/>
        <w:ind w:firstLine="640" w:firstLineChars="200"/>
        <w:jc w:val="left"/>
        <w:rPr>
          <w:rFonts w:ascii="楷体" w:hAnsi="楷体" w:eastAsia="楷体"/>
          <w:b w:val="0"/>
          <w:bCs/>
          <w:color w:val="auto"/>
          <w:sz w:val="32"/>
          <w:szCs w:val="32"/>
        </w:rPr>
      </w:pPr>
      <w:r>
        <w:rPr>
          <w:rFonts w:hint="eastAsia" w:ascii="楷体" w:hAnsi="楷体" w:eastAsia="楷体"/>
          <w:b w:val="0"/>
          <w:bCs/>
          <w:color w:val="auto"/>
          <w:sz w:val="32"/>
          <w:szCs w:val="32"/>
        </w:rPr>
        <w:t>附件2</w:t>
      </w:r>
      <w:r>
        <w:rPr>
          <w:rFonts w:ascii="楷体" w:hAnsi="楷体" w:eastAsia="楷体"/>
          <w:b w:val="0"/>
          <w:bCs/>
          <w:color w:val="auto"/>
          <w:sz w:val="32"/>
          <w:szCs w:val="32"/>
        </w:rPr>
        <w:t>……………………………………</w:t>
      </w:r>
      <w:r>
        <w:rPr>
          <w:rFonts w:hint="eastAsia" w:ascii="楷体" w:hAnsi="楷体" w:eastAsia="楷体"/>
          <w:b w:val="0"/>
          <w:bCs/>
          <w:color w:val="auto"/>
          <w:sz w:val="32"/>
          <w:szCs w:val="32"/>
        </w:rPr>
        <w:t>《投标报价表》</w:t>
      </w:r>
    </w:p>
    <w:p>
      <w:pPr>
        <w:spacing w:line="900" w:lineRule="exact"/>
        <w:jc w:val="both"/>
        <w:rPr>
          <w:rFonts w:ascii="楷体" w:hAnsi="楷体" w:eastAsia="楷体"/>
          <w:b/>
          <w:color w:val="auto"/>
          <w:sz w:val="36"/>
          <w:szCs w:val="36"/>
        </w:rPr>
      </w:pPr>
      <w:r>
        <w:rPr>
          <w:rFonts w:hint="eastAsia" w:ascii="楷体" w:hAnsi="楷体" w:eastAsia="楷体"/>
          <w:b/>
          <w:color w:val="auto"/>
          <w:sz w:val="36"/>
          <w:szCs w:val="36"/>
        </w:rPr>
        <w:t>第二部分</w:t>
      </w:r>
      <w:r>
        <w:rPr>
          <w:rFonts w:ascii="楷体" w:hAnsi="楷体" w:eastAsia="楷体"/>
          <w:b/>
          <w:color w:val="auto"/>
          <w:sz w:val="36"/>
          <w:szCs w:val="36"/>
        </w:rPr>
        <w:t>……………………………………</w:t>
      </w:r>
      <w:r>
        <w:rPr>
          <w:rFonts w:hint="eastAsia" w:ascii="楷体" w:hAnsi="楷体" w:eastAsia="楷体"/>
          <w:b/>
          <w:color w:val="auto"/>
          <w:sz w:val="36"/>
          <w:szCs w:val="36"/>
        </w:rPr>
        <w:t>评标办法</w:t>
      </w:r>
    </w:p>
    <w:p>
      <w:pPr>
        <w:spacing w:line="900" w:lineRule="exact"/>
        <w:ind w:firstLine="640" w:firstLineChars="200"/>
        <w:jc w:val="both"/>
        <w:rPr>
          <w:rFonts w:ascii="楷体" w:hAnsi="楷体" w:eastAsia="楷体"/>
          <w:b w:val="0"/>
          <w:bCs/>
          <w:color w:val="auto"/>
          <w:sz w:val="32"/>
          <w:szCs w:val="32"/>
        </w:rPr>
      </w:pPr>
      <w:r>
        <w:rPr>
          <w:rFonts w:hint="eastAsia" w:ascii="楷体" w:hAnsi="楷体" w:eastAsia="楷体"/>
          <w:b w:val="0"/>
          <w:bCs/>
          <w:color w:val="auto"/>
          <w:sz w:val="32"/>
          <w:szCs w:val="32"/>
        </w:rPr>
        <w:t>附件1</w:t>
      </w:r>
      <w:r>
        <w:rPr>
          <w:rFonts w:ascii="楷体" w:hAnsi="楷体" w:eastAsia="楷体"/>
          <w:b w:val="0"/>
          <w:bCs/>
          <w:color w:val="auto"/>
          <w:sz w:val="32"/>
          <w:szCs w:val="32"/>
        </w:rPr>
        <w:t>………………………………</w:t>
      </w:r>
      <w:r>
        <w:rPr>
          <w:rFonts w:hint="eastAsia" w:ascii="楷体" w:hAnsi="楷体" w:eastAsia="楷体"/>
          <w:b w:val="0"/>
          <w:bCs/>
          <w:color w:val="auto"/>
          <w:sz w:val="32"/>
          <w:szCs w:val="32"/>
        </w:rPr>
        <w:t>《评标办法前附表》</w:t>
      </w:r>
    </w:p>
    <w:p>
      <w:pPr>
        <w:spacing w:line="900" w:lineRule="exact"/>
        <w:jc w:val="both"/>
        <w:rPr>
          <w:rFonts w:ascii="楷体" w:hAnsi="楷体" w:eastAsia="楷体"/>
          <w:b/>
          <w:bCs w:val="0"/>
          <w:color w:val="auto"/>
          <w:sz w:val="36"/>
          <w:szCs w:val="36"/>
        </w:rPr>
      </w:pPr>
      <w:r>
        <w:rPr>
          <w:rFonts w:hint="eastAsia" w:ascii="楷体" w:hAnsi="楷体" w:eastAsia="楷体"/>
          <w:b/>
          <w:bCs w:val="0"/>
          <w:color w:val="auto"/>
          <w:sz w:val="36"/>
          <w:szCs w:val="36"/>
        </w:rPr>
        <w:t>第三部分</w:t>
      </w:r>
      <w:r>
        <w:rPr>
          <w:rFonts w:ascii="楷体" w:hAnsi="楷体" w:eastAsia="楷体"/>
          <w:b/>
          <w:bCs w:val="0"/>
          <w:color w:val="auto"/>
          <w:sz w:val="36"/>
          <w:szCs w:val="36"/>
        </w:rPr>
        <w:t>……………………………</w:t>
      </w:r>
      <w:r>
        <w:rPr>
          <w:rFonts w:hint="eastAsia" w:ascii="楷体" w:hAnsi="楷体" w:eastAsia="楷体"/>
          <w:b/>
          <w:bCs w:val="0"/>
          <w:color w:val="auto"/>
          <w:sz w:val="36"/>
          <w:szCs w:val="36"/>
        </w:rPr>
        <w:t>合同条款及格式</w:t>
      </w:r>
    </w:p>
    <w:p>
      <w:pPr>
        <w:spacing w:line="900" w:lineRule="exact"/>
        <w:jc w:val="both"/>
        <w:rPr>
          <w:rFonts w:ascii="楷体" w:hAnsi="楷体" w:eastAsia="楷体"/>
          <w:b/>
          <w:color w:val="auto"/>
          <w:sz w:val="36"/>
          <w:szCs w:val="36"/>
        </w:rPr>
      </w:pPr>
      <w:r>
        <w:rPr>
          <w:rFonts w:hint="eastAsia" w:ascii="楷体" w:hAnsi="楷体" w:eastAsia="楷体"/>
          <w:b/>
          <w:color w:val="auto"/>
          <w:sz w:val="36"/>
          <w:szCs w:val="36"/>
        </w:rPr>
        <w:t>第四部分</w:t>
      </w:r>
      <w:r>
        <w:rPr>
          <w:rFonts w:ascii="楷体" w:hAnsi="楷体" w:eastAsia="楷体"/>
          <w:b/>
          <w:color w:val="auto"/>
          <w:sz w:val="36"/>
          <w:szCs w:val="36"/>
        </w:rPr>
        <w:t>……………………………………</w:t>
      </w:r>
      <w:r>
        <w:rPr>
          <w:rFonts w:hint="eastAsia" w:ascii="楷体" w:hAnsi="楷体" w:eastAsia="楷体"/>
          <w:b/>
          <w:color w:val="auto"/>
          <w:sz w:val="36"/>
          <w:szCs w:val="36"/>
        </w:rPr>
        <w:t>其他要求</w:t>
      </w:r>
    </w:p>
    <w:p>
      <w:pPr>
        <w:spacing w:line="900" w:lineRule="exact"/>
        <w:ind w:firstLine="640" w:firstLineChars="200"/>
        <w:jc w:val="both"/>
        <w:rPr>
          <w:rFonts w:ascii="楷体" w:hAnsi="楷体" w:eastAsia="楷体"/>
          <w:b w:val="0"/>
          <w:bCs/>
          <w:color w:val="auto"/>
          <w:sz w:val="32"/>
          <w:szCs w:val="32"/>
        </w:rPr>
      </w:pPr>
      <w:r>
        <w:rPr>
          <w:rFonts w:hint="eastAsia" w:ascii="楷体" w:hAnsi="楷体" w:eastAsia="楷体"/>
          <w:b w:val="0"/>
          <w:bCs/>
          <w:color w:val="auto"/>
          <w:sz w:val="32"/>
          <w:szCs w:val="32"/>
        </w:rPr>
        <w:t>附件1</w:t>
      </w:r>
      <w:r>
        <w:rPr>
          <w:rFonts w:ascii="楷体" w:hAnsi="楷体" w:eastAsia="楷体"/>
          <w:b w:val="0"/>
          <w:bCs/>
          <w:color w:val="auto"/>
          <w:sz w:val="32"/>
          <w:szCs w:val="32"/>
        </w:rPr>
        <w:t>…………………………………………</w:t>
      </w:r>
      <w:r>
        <w:rPr>
          <w:rFonts w:hint="eastAsia" w:ascii="楷体" w:hAnsi="楷体" w:eastAsia="楷体"/>
          <w:b w:val="0"/>
          <w:bCs/>
          <w:color w:val="auto"/>
          <w:sz w:val="32"/>
          <w:szCs w:val="32"/>
        </w:rPr>
        <w:t>《投标函》</w:t>
      </w:r>
    </w:p>
    <w:p>
      <w:pPr>
        <w:spacing w:line="900" w:lineRule="exact"/>
        <w:ind w:firstLine="640" w:firstLineChars="200"/>
        <w:jc w:val="both"/>
        <w:rPr>
          <w:rFonts w:ascii="楷体" w:hAnsi="楷体" w:eastAsia="楷体"/>
          <w:b w:val="0"/>
          <w:bCs/>
          <w:color w:val="auto"/>
          <w:sz w:val="32"/>
          <w:szCs w:val="32"/>
        </w:rPr>
      </w:pPr>
      <w:r>
        <w:rPr>
          <w:rFonts w:hint="eastAsia" w:ascii="楷体" w:hAnsi="楷体" w:eastAsia="楷体"/>
          <w:b w:val="0"/>
          <w:bCs/>
          <w:color w:val="auto"/>
          <w:sz w:val="32"/>
          <w:szCs w:val="32"/>
        </w:rPr>
        <w:t>附件2</w:t>
      </w:r>
      <w:r>
        <w:rPr>
          <w:rFonts w:ascii="楷体" w:hAnsi="楷体" w:eastAsia="楷体"/>
          <w:b w:val="0"/>
          <w:bCs/>
          <w:color w:val="auto"/>
          <w:sz w:val="32"/>
          <w:szCs w:val="32"/>
        </w:rPr>
        <w:t>……………</w:t>
      </w:r>
      <w:r>
        <w:rPr>
          <w:rFonts w:hint="eastAsia" w:ascii="楷体" w:hAnsi="楷体" w:eastAsia="楷体"/>
          <w:b w:val="0"/>
          <w:bCs/>
          <w:color w:val="auto"/>
          <w:sz w:val="32"/>
          <w:szCs w:val="32"/>
        </w:rPr>
        <w:t>《法定代表身份证明及授权委托书》</w:t>
      </w:r>
    </w:p>
    <w:p>
      <w:pPr>
        <w:spacing w:line="900" w:lineRule="exact"/>
        <w:ind w:firstLine="640" w:firstLineChars="200"/>
        <w:jc w:val="both"/>
        <w:rPr>
          <w:rFonts w:ascii="楷体" w:hAnsi="楷体" w:eastAsia="楷体"/>
          <w:b w:val="0"/>
          <w:bCs/>
          <w:color w:val="auto"/>
          <w:sz w:val="32"/>
          <w:szCs w:val="32"/>
        </w:rPr>
      </w:pPr>
      <w:r>
        <w:rPr>
          <w:rFonts w:hint="eastAsia" w:ascii="楷体" w:hAnsi="楷体" w:eastAsia="楷体"/>
          <w:b w:val="0"/>
          <w:bCs/>
          <w:color w:val="auto"/>
          <w:sz w:val="32"/>
          <w:szCs w:val="32"/>
        </w:rPr>
        <w:t>附件3</w:t>
      </w:r>
      <w:r>
        <w:rPr>
          <w:rFonts w:ascii="楷体" w:hAnsi="楷体" w:eastAsia="楷体"/>
          <w:b w:val="0"/>
          <w:bCs/>
          <w:color w:val="auto"/>
          <w:sz w:val="32"/>
          <w:szCs w:val="32"/>
        </w:rPr>
        <w:t>…………………………</w:t>
      </w:r>
      <w:r>
        <w:rPr>
          <w:rFonts w:hint="eastAsia" w:ascii="楷体" w:hAnsi="楷体" w:eastAsia="楷体"/>
          <w:b w:val="0"/>
          <w:bCs/>
          <w:color w:val="auto"/>
          <w:sz w:val="32"/>
          <w:szCs w:val="32"/>
        </w:rPr>
        <w:t>《可提供增值服务证明》</w:t>
      </w:r>
    </w:p>
    <w:p>
      <w:pPr>
        <w:spacing w:line="900" w:lineRule="exact"/>
        <w:ind w:firstLine="640" w:firstLineChars="200"/>
        <w:jc w:val="both"/>
        <w:rPr>
          <w:rFonts w:ascii="楷体" w:hAnsi="楷体" w:eastAsia="楷体"/>
          <w:b w:val="0"/>
          <w:bCs/>
          <w:color w:val="auto"/>
          <w:sz w:val="32"/>
          <w:szCs w:val="32"/>
        </w:rPr>
      </w:pPr>
      <w:r>
        <w:rPr>
          <w:rFonts w:hint="eastAsia" w:ascii="楷体" w:hAnsi="楷体" w:eastAsia="楷体"/>
          <w:b w:val="0"/>
          <w:bCs/>
          <w:color w:val="auto"/>
          <w:sz w:val="32"/>
          <w:szCs w:val="32"/>
        </w:rPr>
        <w:t>附件4……</w:t>
      </w:r>
      <w:r>
        <w:rPr>
          <w:rFonts w:ascii="楷体" w:hAnsi="楷体" w:eastAsia="楷体"/>
          <w:b w:val="0"/>
          <w:bCs/>
          <w:color w:val="auto"/>
          <w:sz w:val="32"/>
          <w:szCs w:val="32"/>
        </w:rPr>
        <w:t>…………</w:t>
      </w:r>
      <w:r>
        <w:rPr>
          <w:rFonts w:hint="eastAsia" w:ascii="楷体" w:hAnsi="楷体" w:eastAsia="楷体"/>
          <w:b w:val="0"/>
          <w:bCs/>
          <w:color w:val="auto"/>
          <w:sz w:val="32"/>
          <w:szCs w:val="32"/>
        </w:rPr>
        <w:t>………………</w:t>
      </w:r>
      <w:r>
        <w:rPr>
          <w:rFonts w:ascii="楷体" w:hAnsi="楷体" w:eastAsia="楷体"/>
          <w:b w:val="0"/>
          <w:bCs/>
          <w:color w:val="auto"/>
          <w:sz w:val="32"/>
          <w:szCs w:val="32"/>
        </w:rPr>
        <w:t>……</w:t>
      </w:r>
      <w:r>
        <w:rPr>
          <w:rFonts w:hint="eastAsia" w:ascii="楷体" w:hAnsi="楷体" w:eastAsia="楷体"/>
          <w:b w:val="0"/>
          <w:bCs/>
          <w:color w:val="auto"/>
          <w:sz w:val="32"/>
          <w:szCs w:val="32"/>
        </w:rPr>
        <w:t>《投标报价表》</w:t>
      </w:r>
    </w:p>
    <w:p>
      <w:pPr>
        <w:rPr>
          <w:rFonts w:ascii="楷体" w:hAnsi="楷体" w:eastAsia="楷体"/>
          <w:b/>
          <w:color w:val="auto"/>
          <w:sz w:val="32"/>
          <w:szCs w:val="32"/>
        </w:rPr>
      </w:pPr>
    </w:p>
    <w:p>
      <w:pPr>
        <w:rPr>
          <w:rFonts w:ascii="楷体" w:hAnsi="楷体" w:eastAsia="楷体"/>
          <w:color w:val="auto"/>
        </w:rPr>
      </w:pPr>
    </w:p>
    <w:p>
      <w:pPr>
        <w:pStyle w:val="2"/>
        <w:spacing w:line="540" w:lineRule="exact"/>
        <w:jc w:val="center"/>
        <w:rPr>
          <w:rFonts w:ascii="黑体" w:hAnsi="宋体"/>
          <w:color w:val="auto"/>
          <w:sz w:val="36"/>
          <w:szCs w:val="36"/>
        </w:rPr>
      </w:pPr>
      <w:bookmarkStart w:id="0" w:name="_Toc232762226"/>
      <w:bookmarkStart w:id="1" w:name="_Toc232565293"/>
      <w:bookmarkStart w:id="2" w:name="_Toc232762145"/>
      <w:bookmarkStart w:id="3" w:name="_Toc232583423"/>
      <w:bookmarkStart w:id="4" w:name="_Toc232565127"/>
      <w:bookmarkStart w:id="5" w:name="_Toc232568255"/>
      <w:bookmarkStart w:id="6" w:name="_Toc232762567"/>
      <w:bookmarkStart w:id="7" w:name="_Toc232565185"/>
      <w:bookmarkStart w:id="8" w:name="_Toc232568043"/>
      <w:bookmarkStart w:id="9" w:name="_Toc232563000"/>
      <w:bookmarkStart w:id="10" w:name="_Toc232761295"/>
      <w:bookmarkStart w:id="11" w:name="_Toc232761837"/>
      <w:bookmarkStart w:id="12" w:name="_Toc232581770"/>
      <w:bookmarkStart w:id="13" w:name="_Toc232582260"/>
      <w:bookmarkStart w:id="14" w:name="_Toc232760985"/>
      <w:bookmarkStart w:id="15" w:name="_Toc232564711"/>
      <w:bookmarkStart w:id="16" w:name="_Toc232761293"/>
      <w:bookmarkStart w:id="17" w:name="_Toc232568041"/>
      <w:bookmarkStart w:id="18" w:name="_Toc232583421"/>
      <w:bookmarkStart w:id="19" w:name="_Toc232568253"/>
      <w:bookmarkStart w:id="20" w:name="_Toc232761835"/>
      <w:bookmarkStart w:id="21" w:name="_Toc232762143"/>
      <w:bookmarkStart w:id="22" w:name="_Toc232760983"/>
      <w:bookmarkStart w:id="23" w:name="_Toc232762224"/>
      <w:bookmarkStart w:id="24" w:name="_Toc232762565"/>
      <w:bookmarkStart w:id="25" w:name="_Toc232581768"/>
      <w:bookmarkStart w:id="26" w:name="_Toc232582258"/>
      <w:r>
        <w:rPr>
          <w:rFonts w:hint="eastAsia" w:ascii="黑体" w:hAnsi="宋体"/>
          <w:color w:val="auto"/>
          <w:sz w:val="36"/>
          <w:szCs w:val="36"/>
        </w:rPr>
        <w:t>第一部分：</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hint="eastAsia" w:ascii="黑体" w:hAnsi="宋体"/>
          <w:color w:val="auto"/>
          <w:sz w:val="36"/>
          <w:szCs w:val="36"/>
        </w:rPr>
        <w:t>投标人须知</w:t>
      </w:r>
    </w:p>
    <w:bookmarkEnd w:id="16"/>
    <w:bookmarkEnd w:id="17"/>
    <w:bookmarkEnd w:id="18"/>
    <w:bookmarkEnd w:id="19"/>
    <w:bookmarkEnd w:id="20"/>
    <w:bookmarkEnd w:id="21"/>
    <w:bookmarkEnd w:id="22"/>
    <w:bookmarkEnd w:id="23"/>
    <w:bookmarkEnd w:id="24"/>
    <w:bookmarkEnd w:id="25"/>
    <w:bookmarkEnd w:id="26"/>
    <w:p>
      <w:pPr>
        <w:spacing w:line="540" w:lineRule="exact"/>
        <w:rPr>
          <w:rFonts w:ascii="楷体" w:hAnsi="楷体" w:eastAsia="楷体"/>
          <w:b/>
          <w:bCs/>
          <w:color w:val="auto"/>
          <w:sz w:val="28"/>
          <w:szCs w:val="28"/>
        </w:rPr>
      </w:pPr>
      <w:r>
        <w:rPr>
          <w:rFonts w:hint="eastAsia" w:ascii="楷体" w:hAnsi="楷体" w:eastAsia="楷体"/>
          <w:b/>
          <w:bCs/>
          <w:color w:val="auto"/>
          <w:sz w:val="28"/>
          <w:szCs w:val="28"/>
        </w:rPr>
        <w:t>投标人须知前附表</w:t>
      </w:r>
    </w:p>
    <w:tbl>
      <w:tblPr>
        <w:tblStyle w:val="8"/>
        <w:tblW w:w="8379" w:type="dxa"/>
        <w:tblInd w:w="93" w:type="dxa"/>
        <w:tblLayout w:type="fixed"/>
        <w:tblCellMar>
          <w:top w:w="0" w:type="dxa"/>
          <w:left w:w="108" w:type="dxa"/>
          <w:bottom w:w="0" w:type="dxa"/>
          <w:right w:w="108" w:type="dxa"/>
        </w:tblCellMar>
      </w:tblPr>
      <w:tblGrid>
        <w:gridCol w:w="724"/>
        <w:gridCol w:w="1701"/>
        <w:gridCol w:w="5954"/>
      </w:tblGrid>
      <w:tr>
        <w:tblPrEx>
          <w:tblLayout w:type="fixed"/>
          <w:tblCellMar>
            <w:top w:w="0" w:type="dxa"/>
            <w:left w:w="108" w:type="dxa"/>
            <w:bottom w:w="0" w:type="dxa"/>
            <w:right w:w="108" w:type="dxa"/>
          </w:tblCellMar>
        </w:tblPrEx>
        <w:trPr>
          <w:trHeight w:val="435" w:hRule="atLeast"/>
        </w:trPr>
        <w:tc>
          <w:tcPr>
            <w:tcW w:w="724"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auto"/>
                <w:kern w:val="0"/>
                <w:sz w:val="20"/>
                <w:szCs w:val="20"/>
              </w:rPr>
            </w:pPr>
            <w:bookmarkStart w:id="27" w:name="_Toc232583432"/>
            <w:bookmarkStart w:id="28" w:name="_Toc232568052"/>
            <w:bookmarkStart w:id="29" w:name="_Toc232581779"/>
            <w:bookmarkStart w:id="30" w:name="_Toc232762576"/>
            <w:bookmarkStart w:id="31" w:name="_Toc232760994"/>
            <w:bookmarkStart w:id="32" w:name="_Toc232761304"/>
            <w:bookmarkStart w:id="33" w:name="_Toc232762154"/>
            <w:bookmarkStart w:id="34" w:name="_Toc232762235"/>
            <w:bookmarkStart w:id="35" w:name="_Toc232761846"/>
            <w:bookmarkStart w:id="36" w:name="_Toc232582269"/>
            <w:r>
              <w:rPr>
                <w:rFonts w:hint="eastAsia" w:ascii="黑体" w:hAnsi="黑体" w:eastAsia="黑体" w:cs="宋体"/>
                <w:b/>
                <w:bCs/>
                <w:color w:val="auto"/>
                <w:kern w:val="0"/>
                <w:sz w:val="20"/>
                <w:szCs w:val="20"/>
              </w:rPr>
              <w:t>项号</w:t>
            </w:r>
          </w:p>
        </w:tc>
        <w:tc>
          <w:tcPr>
            <w:tcW w:w="1701"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color w:val="auto"/>
                <w:kern w:val="0"/>
                <w:sz w:val="20"/>
                <w:szCs w:val="20"/>
              </w:rPr>
            </w:pPr>
            <w:r>
              <w:rPr>
                <w:rFonts w:hint="eastAsia" w:ascii="黑体" w:hAnsi="黑体" w:eastAsia="黑体" w:cs="宋体"/>
                <w:b/>
                <w:bCs/>
                <w:color w:val="auto"/>
                <w:kern w:val="0"/>
                <w:sz w:val="20"/>
                <w:szCs w:val="20"/>
              </w:rPr>
              <w:t>内    容</w:t>
            </w:r>
          </w:p>
        </w:tc>
        <w:tc>
          <w:tcPr>
            <w:tcW w:w="5954"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黑体" w:hAnsi="黑体" w:eastAsia="黑体" w:cs="宋体"/>
                <w:b/>
                <w:bCs/>
                <w:color w:val="auto"/>
                <w:kern w:val="0"/>
                <w:sz w:val="20"/>
                <w:szCs w:val="20"/>
              </w:rPr>
            </w:pPr>
            <w:r>
              <w:rPr>
                <w:rFonts w:hint="eastAsia" w:ascii="黑体" w:hAnsi="黑体" w:eastAsia="黑体" w:cs="宋体"/>
                <w:b/>
                <w:bCs/>
                <w:color w:val="auto"/>
                <w:kern w:val="0"/>
                <w:sz w:val="20"/>
                <w:szCs w:val="20"/>
              </w:rPr>
              <w:t>说明与要求</w:t>
            </w:r>
          </w:p>
        </w:tc>
      </w:tr>
      <w:tr>
        <w:tblPrEx>
          <w:tblLayout w:type="fixed"/>
          <w:tblCellMar>
            <w:top w:w="0" w:type="dxa"/>
            <w:left w:w="108" w:type="dxa"/>
            <w:bottom w:w="0" w:type="dxa"/>
            <w:right w:w="108" w:type="dxa"/>
          </w:tblCellMar>
        </w:tblPrEx>
        <w:trPr>
          <w:trHeight w:val="795"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项目名称</w:t>
            </w:r>
          </w:p>
        </w:tc>
        <w:tc>
          <w:tcPr>
            <w:tcW w:w="5954"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asciiTheme="minorEastAsia" w:hAnsiTheme="minorEastAsia" w:eastAsiaTheme="minorEastAsia"/>
                <w:color w:val="auto"/>
                <w:sz w:val="20"/>
                <w:szCs w:val="20"/>
              </w:rPr>
            </w:pPr>
            <w:r>
              <w:rPr>
                <w:rFonts w:hint="eastAsia" w:ascii="宋体" w:hAnsi="宋体" w:cs="宋体"/>
                <w:color w:val="auto"/>
                <w:kern w:val="0"/>
                <w:sz w:val="20"/>
                <w:szCs w:val="20"/>
              </w:rPr>
              <w:t>重庆机电控股（集团）公司</w:t>
            </w:r>
            <w:r>
              <w:rPr>
                <w:rFonts w:hint="eastAsia" w:ascii="宋体" w:hAnsi="宋体" w:cs="宋体"/>
                <w:color w:val="auto"/>
                <w:kern w:val="0"/>
                <w:sz w:val="20"/>
                <w:szCs w:val="20"/>
                <w:lang w:eastAsia="zh-CN"/>
              </w:rPr>
              <w:t>及所属企业</w:t>
            </w:r>
            <w:r>
              <w:rPr>
                <w:rFonts w:hint="eastAsia" w:ascii="宋体" w:hAnsi="宋体" w:cs="宋体"/>
                <w:color w:val="auto"/>
                <w:kern w:val="0"/>
                <w:sz w:val="20"/>
                <w:szCs w:val="20"/>
              </w:rPr>
              <w:t>2022年二、三、四季度</w:t>
            </w:r>
            <w:r>
              <w:rPr>
                <w:rFonts w:hint="eastAsia" w:ascii="宋体" w:hAnsi="宋体" w:cs="宋体"/>
                <w:color w:val="auto"/>
                <w:kern w:val="0"/>
                <w:sz w:val="20"/>
                <w:szCs w:val="20"/>
                <w:lang w:eastAsia="zh-CN"/>
              </w:rPr>
              <w:t>电力市场化交易</w:t>
            </w:r>
            <w:r>
              <w:rPr>
                <w:rFonts w:hint="eastAsia" w:asciiTheme="minorEastAsia" w:hAnsiTheme="minorEastAsia" w:eastAsiaTheme="minorEastAsia"/>
                <w:color w:val="auto"/>
                <w:sz w:val="20"/>
                <w:szCs w:val="20"/>
              </w:rPr>
              <w:t>（含政府基金附加、输配电、辅助服务费）集中采购</w:t>
            </w:r>
            <w:r>
              <w:rPr>
                <w:rFonts w:hint="eastAsia" w:ascii="宋体" w:hAnsi="宋体" w:cs="宋体"/>
                <w:color w:val="auto"/>
                <w:kern w:val="0"/>
                <w:sz w:val="20"/>
                <w:szCs w:val="20"/>
              </w:rPr>
              <w:t>公开招标</w:t>
            </w:r>
          </w:p>
        </w:tc>
      </w:tr>
      <w:tr>
        <w:tblPrEx>
          <w:tblLayout w:type="fixed"/>
          <w:tblCellMar>
            <w:top w:w="0" w:type="dxa"/>
            <w:left w:w="108" w:type="dxa"/>
            <w:bottom w:w="0" w:type="dxa"/>
            <w:right w:w="108" w:type="dxa"/>
          </w:tblCellMar>
        </w:tblPrEx>
        <w:trPr>
          <w:trHeight w:val="435"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2</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项目地点</w:t>
            </w:r>
          </w:p>
        </w:tc>
        <w:tc>
          <w:tcPr>
            <w:tcW w:w="5954"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重庆机电控股（集团）公司</w:t>
            </w:r>
            <w:r>
              <w:rPr>
                <w:rFonts w:hint="eastAsia" w:ascii="宋体" w:hAnsi="宋体" w:cs="宋体"/>
                <w:color w:val="auto"/>
                <w:kern w:val="0"/>
                <w:sz w:val="20"/>
                <w:szCs w:val="20"/>
                <w:lang w:eastAsia="zh-CN"/>
              </w:rPr>
              <w:t>及</w:t>
            </w:r>
            <w:r>
              <w:rPr>
                <w:rFonts w:hint="eastAsia" w:ascii="宋体" w:hAnsi="宋体" w:cs="宋体"/>
                <w:color w:val="auto"/>
                <w:kern w:val="0"/>
                <w:sz w:val="20"/>
                <w:szCs w:val="20"/>
              </w:rPr>
              <w:t>所属各企业</w:t>
            </w:r>
          </w:p>
        </w:tc>
      </w:tr>
      <w:tr>
        <w:tblPrEx>
          <w:tblLayout w:type="fixed"/>
          <w:tblCellMar>
            <w:top w:w="0" w:type="dxa"/>
            <w:left w:w="108" w:type="dxa"/>
            <w:bottom w:w="0" w:type="dxa"/>
            <w:right w:w="108" w:type="dxa"/>
          </w:tblCellMar>
        </w:tblPrEx>
        <w:trPr>
          <w:trHeight w:val="435"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3</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项目规模</w:t>
            </w:r>
          </w:p>
        </w:tc>
        <w:tc>
          <w:tcPr>
            <w:tcW w:w="5954"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highlight w:val="none"/>
                <w:lang w:eastAsia="zh-CN"/>
              </w:rPr>
              <w:t>本次招标集中</w:t>
            </w:r>
            <w:r>
              <w:rPr>
                <w:rFonts w:hint="eastAsia" w:ascii="宋体" w:hAnsi="宋体" w:cs="宋体"/>
                <w:color w:val="auto"/>
                <w:kern w:val="0"/>
                <w:sz w:val="20"/>
                <w:szCs w:val="20"/>
                <w:highlight w:val="none"/>
              </w:rPr>
              <w:t>采购</w:t>
            </w:r>
            <w:r>
              <w:rPr>
                <w:rFonts w:hint="eastAsia" w:ascii="宋体" w:hAnsi="宋体" w:cs="宋体"/>
                <w:color w:val="auto"/>
                <w:kern w:val="0"/>
                <w:sz w:val="20"/>
                <w:szCs w:val="20"/>
                <w:highlight w:val="none"/>
                <w:lang w:eastAsia="zh-CN"/>
              </w:rPr>
              <w:t>电量</w:t>
            </w:r>
            <w:r>
              <w:rPr>
                <w:rFonts w:hint="eastAsia" w:ascii="宋体" w:hAnsi="宋体" w:cs="宋体"/>
                <w:color w:val="auto"/>
                <w:kern w:val="0"/>
                <w:sz w:val="20"/>
                <w:szCs w:val="20"/>
                <w:highlight w:val="none"/>
              </w:rPr>
              <w:t>预计2.1亿千瓦时左右（仅供投标参考）</w:t>
            </w:r>
          </w:p>
        </w:tc>
      </w:tr>
      <w:tr>
        <w:tblPrEx>
          <w:tblLayout w:type="fixed"/>
          <w:tblCellMar>
            <w:top w:w="0" w:type="dxa"/>
            <w:left w:w="108" w:type="dxa"/>
            <w:bottom w:w="0" w:type="dxa"/>
            <w:right w:w="108" w:type="dxa"/>
          </w:tblCellMar>
        </w:tblPrEx>
        <w:trPr>
          <w:trHeight w:val="435"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4</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招标方式</w:t>
            </w:r>
          </w:p>
        </w:tc>
        <w:tc>
          <w:tcPr>
            <w:tcW w:w="5954"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lang w:eastAsia="zh-CN"/>
              </w:rPr>
              <w:t>电力市场化</w:t>
            </w:r>
            <w:r>
              <w:rPr>
                <w:rFonts w:hint="eastAsia" w:ascii="宋体" w:hAnsi="宋体" w:cs="宋体"/>
                <w:color w:val="auto"/>
                <w:kern w:val="0"/>
                <w:sz w:val="20"/>
                <w:szCs w:val="20"/>
                <w:lang w:eastAsia="zh-CN"/>
              </w:rPr>
              <w:t>集中</w:t>
            </w:r>
            <w:r>
              <w:rPr>
                <w:rFonts w:hint="eastAsia" w:ascii="宋体" w:hAnsi="宋体" w:cs="宋体"/>
                <w:color w:val="auto"/>
                <w:kern w:val="0"/>
                <w:sz w:val="20"/>
                <w:szCs w:val="20"/>
                <w:lang w:eastAsia="zh-CN"/>
              </w:rPr>
              <w:t>采购</w:t>
            </w:r>
            <w:r>
              <w:rPr>
                <w:rFonts w:hint="eastAsia" w:ascii="宋体" w:hAnsi="宋体" w:cs="宋体"/>
                <w:color w:val="auto"/>
                <w:kern w:val="0"/>
                <w:sz w:val="20"/>
                <w:szCs w:val="20"/>
              </w:rPr>
              <w:t>公开招标</w:t>
            </w:r>
          </w:p>
        </w:tc>
      </w:tr>
      <w:tr>
        <w:tblPrEx>
          <w:tblLayout w:type="fixed"/>
          <w:tblCellMar>
            <w:top w:w="0" w:type="dxa"/>
            <w:left w:w="108" w:type="dxa"/>
            <w:bottom w:w="0" w:type="dxa"/>
            <w:right w:w="108" w:type="dxa"/>
          </w:tblCellMar>
        </w:tblPrEx>
        <w:trPr>
          <w:trHeight w:val="435"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5</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质量要求</w:t>
            </w:r>
          </w:p>
        </w:tc>
        <w:tc>
          <w:tcPr>
            <w:tcW w:w="5954"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执行国家标准或与企业签订的技术、质量协议</w:t>
            </w:r>
          </w:p>
        </w:tc>
      </w:tr>
      <w:tr>
        <w:tblPrEx>
          <w:tblLayout w:type="fixed"/>
          <w:tblCellMar>
            <w:top w:w="0" w:type="dxa"/>
            <w:left w:w="108" w:type="dxa"/>
            <w:bottom w:w="0" w:type="dxa"/>
            <w:right w:w="108" w:type="dxa"/>
          </w:tblCellMar>
        </w:tblPrEx>
        <w:trPr>
          <w:trHeight w:val="435"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6</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执行期限</w:t>
            </w:r>
          </w:p>
        </w:tc>
        <w:tc>
          <w:tcPr>
            <w:tcW w:w="5954" w:type="dxa"/>
            <w:tcBorders>
              <w:top w:val="nil"/>
              <w:left w:val="nil"/>
              <w:bottom w:val="single" w:color="auto" w:sz="4" w:space="0"/>
              <w:right w:val="single" w:color="auto" w:sz="8" w:space="0"/>
            </w:tcBorders>
            <w:shd w:val="clear" w:color="auto" w:fill="auto"/>
            <w:vAlign w:val="center"/>
          </w:tcPr>
          <w:p>
            <w:pPr>
              <w:widowControl/>
              <w:jc w:val="left"/>
              <w:rPr>
                <w:rFonts w:ascii="Calibri" w:hAnsi="Calibri" w:cs="Calibri"/>
                <w:color w:val="auto"/>
                <w:kern w:val="0"/>
                <w:sz w:val="20"/>
                <w:szCs w:val="20"/>
              </w:rPr>
            </w:pPr>
            <w:r>
              <w:rPr>
                <w:rFonts w:hint="eastAsia" w:cs="Calibri" w:asciiTheme="minorEastAsia" w:hAnsiTheme="minorEastAsia" w:eastAsiaTheme="minorEastAsia"/>
                <w:color w:val="auto"/>
                <w:kern w:val="0"/>
                <w:sz w:val="20"/>
                <w:szCs w:val="20"/>
                <w:highlight w:val="none"/>
                <w:u w:val="single"/>
              </w:rPr>
              <w:t>2022</w:t>
            </w:r>
            <w:r>
              <w:rPr>
                <w:rFonts w:hint="eastAsia" w:ascii="宋体" w:hAnsi="宋体" w:cs="Calibri"/>
                <w:color w:val="auto"/>
                <w:kern w:val="0"/>
                <w:sz w:val="20"/>
                <w:szCs w:val="20"/>
                <w:highlight w:val="none"/>
              </w:rPr>
              <w:t>年</w:t>
            </w:r>
            <w:r>
              <w:rPr>
                <w:rFonts w:hint="eastAsia" w:ascii="宋体" w:hAnsi="宋体" w:cs="Calibri"/>
                <w:color w:val="auto"/>
                <w:kern w:val="0"/>
                <w:sz w:val="20"/>
                <w:szCs w:val="20"/>
                <w:highlight w:val="none"/>
                <w:u w:val="single"/>
              </w:rPr>
              <w:t>04</w:t>
            </w:r>
            <w:r>
              <w:rPr>
                <w:rFonts w:hint="eastAsia" w:ascii="宋体" w:hAnsi="宋体" w:cs="Calibri"/>
                <w:color w:val="auto"/>
                <w:kern w:val="0"/>
                <w:sz w:val="20"/>
                <w:szCs w:val="20"/>
                <w:highlight w:val="none"/>
              </w:rPr>
              <w:t>月</w:t>
            </w:r>
            <w:r>
              <w:rPr>
                <w:rFonts w:hint="eastAsia" w:ascii="宋体" w:hAnsi="宋体" w:cs="Calibri"/>
                <w:color w:val="auto"/>
                <w:kern w:val="0"/>
                <w:sz w:val="20"/>
                <w:szCs w:val="20"/>
                <w:highlight w:val="none"/>
                <w:u w:val="single"/>
              </w:rPr>
              <w:t>01</w:t>
            </w:r>
            <w:r>
              <w:rPr>
                <w:rFonts w:hint="eastAsia" w:ascii="宋体" w:hAnsi="宋体" w:cs="Calibri"/>
                <w:color w:val="auto"/>
                <w:kern w:val="0"/>
                <w:sz w:val="20"/>
                <w:szCs w:val="20"/>
                <w:highlight w:val="none"/>
              </w:rPr>
              <w:t>日至</w:t>
            </w:r>
            <w:r>
              <w:rPr>
                <w:rFonts w:hint="eastAsia" w:ascii="宋体" w:hAnsi="宋体" w:cs="Calibri"/>
                <w:color w:val="auto"/>
                <w:kern w:val="0"/>
                <w:sz w:val="20"/>
                <w:szCs w:val="20"/>
                <w:highlight w:val="none"/>
                <w:u w:val="single"/>
              </w:rPr>
              <w:t>2022</w:t>
            </w:r>
            <w:r>
              <w:rPr>
                <w:rFonts w:hint="eastAsia" w:ascii="宋体" w:hAnsi="宋体" w:cs="Calibri"/>
                <w:color w:val="auto"/>
                <w:kern w:val="0"/>
                <w:sz w:val="20"/>
                <w:szCs w:val="20"/>
                <w:highlight w:val="none"/>
              </w:rPr>
              <w:t>年</w:t>
            </w:r>
            <w:r>
              <w:rPr>
                <w:rFonts w:hint="eastAsia" w:ascii="宋体" w:hAnsi="宋体" w:cs="Calibri"/>
                <w:color w:val="auto"/>
                <w:kern w:val="0"/>
                <w:sz w:val="20"/>
                <w:szCs w:val="20"/>
                <w:highlight w:val="none"/>
                <w:u w:val="single"/>
              </w:rPr>
              <w:t>12</w:t>
            </w:r>
            <w:r>
              <w:rPr>
                <w:rFonts w:hint="eastAsia" w:ascii="宋体" w:hAnsi="宋体" w:cs="Calibri"/>
                <w:color w:val="auto"/>
                <w:kern w:val="0"/>
                <w:sz w:val="20"/>
                <w:szCs w:val="20"/>
                <w:highlight w:val="none"/>
              </w:rPr>
              <w:t>月</w:t>
            </w:r>
            <w:r>
              <w:rPr>
                <w:rFonts w:hint="eastAsia" w:ascii="宋体" w:hAnsi="宋体" w:cs="Calibri"/>
                <w:color w:val="auto"/>
                <w:kern w:val="0"/>
                <w:sz w:val="20"/>
                <w:szCs w:val="20"/>
                <w:highlight w:val="none"/>
                <w:u w:val="single"/>
              </w:rPr>
              <w:t>31</w:t>
            </w:r>
            <w:r>
              <w:rPr>
                <w:rFonts w:hint="eastAsia" w:ascii="宋体" w:hAnsi="宋体" w:cs="Calibri"/>
                <w:color w:val="auto"/>
                <w:kern w:val="0"/>
                <w:sz w:val="20"/>
                <w:szCs w:val="20"/>
                <w:highlight w:val="none"/>
              </w:rPr>
              <w:t>日</w:t>
            </w:r>
          </w:p>
        </w:tc>
      </w:tr>
      <w:tr>
        <w:tblPrEx>
          <w:tblLayout w:type="fixed"/>
          <w:tblCellMar>
            <w:top w:w="0" w:type="dxa"/>
            <w:left w:w="108" w:type="dxa"/>
            <w:bottom w:w="0" w:type="dxa"/>
            <w:right w:w="108" w:type="dxa"/>
          </w:tblCellMar>
        </w:tblPrEx>
        <w:trPr>
          <w:trHeight w:val="479"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7</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招标范围</w:t>
            </w:r>
          </w:p>
        </w:tc>
        <w:tc>
          <w:tcPr>
            <w:tcW w:w="5954" w:type="dxa"/>
            <w:tcBorders>
              <w:top w:val="nil"/>
              <w:left w:val="nil"/>
              <w:bottom w:val="single" w:color="auto" w:sz="4" w:space="0"/>
              <w:right w:val="single" w:color="auto" w:sz="8" w:space="0"/>
            </w:tcBorders>
            <w:shd w:val="clear" w:color="auto" w:fill="auto"/>
            <w:vAlign w:val="center"/>
          </w:tcPr>
          <w:p>
            <w:pPr>
              <w:widowControl/>
              <w:tabs>
                <w:tab w:val="left" w:pos="764"/>
              </w:tabs>
              <w:kinsoku w:val="0"/>
              <w:overflowPunct w:val="0"/>
              <w:spacing w:before="19" w:line="500" w:lineRule="exact"/>
              <w:rPr>
                <w:rFonts w:asciiTheme="minorEastAsia" w:hAnsiTheme="minorEastAsia" w:eastAsiaTheme="minorEastAsia"/>
                <w:color w:val="auto"/>
                <w:spacing w:val="-1"/>
                <w:sz w:val="20"/>
                <w:szCs w:val="20"/>
                <w:highlight w:val="none"/>
              </w:rPr>
            </w:pPr>
            <w:r>
              <w:rPr>
                <w:rFonts w:hint="eastAsia" w:ascii="宋体" w:hAnsi="宋体" w:cs="宋体"/>
                <w:color w:val="auto"/>
                <w:kern w:val="0"/>
                <w:sz w:val="20"/>
                <w:szCs w:val="20"/>
                <w:highlight w:val="none"/>
              </w:rPr>
              <w:t>1.</w:t>
            </w:r>
            <w:r>
              <w:rPr>
                <w:rFonts w:hint="eastAsia" w:asciiTheme="minorEastAsia" w:hAnsiTheme="minorEastAsia" w:eastAsiaTheme="minorEastAsia"/>
                <w:color w:val="auto"/>
                <w:spacing w:val="-1"/>
                <w:sz w:val="20"/>
                <w:szCs w:val="20"/>
                <w:highlight w:val="none"/>
              </w:rPr>
              <w:t>10KV电压等级2022年电量约20500万千瓦时；</w:t>
            </w:r>
          </w:p>
          <w:p>
            <w:pPr>
              <w:widowControl/>
              <w:tabs>
                <w:tab w:val="left" w:pos="764"/>
              </w:tabs>
              <w:kinsoku w:val="0"/>
              <w:overflowPunct w:val="0"/>
              <w:spacing w:before="19" w:line="500" w:lineRule="exact"/>
              <w:rPr>
                <w:rFonts w:asciiTheme="minorEastAsia" w:hAnsiTheme="minorEastAsia" w:eastAsiaTheme="minorEastAsia"/>
                <w:color w:val="auto"/>
                <w:spacing w:val="-1"/>
                <w:sz w:val="20"/>
                <w:szCs w:val="20"/>
              </w:rPr>
            </w:pPr>
            <w:r>
              <w:rPr>
                <w:rFonts w:hint="eastAsia" w:asciiTheme="minorEastAsia" w:hAnsiTheme="minorEastAsia" w:eastAsiaTheme="minorEastAsia"/>
                <w:color w:val="auto"/>
                <w:spacing w:val="-1"/>
                <w:sz w:val="20"/>
                <w:szCs w:val="20"/>
                <w:highlight w:val="none"/>
              </w:rPr>
              <w:t>2.35KV电压等级2022年电量约520万千瓦时。</w:t>
            </w:r>
          </w:p>
        </w:tc>
      </w:tr>
      <w:tr>
        <w:tblPrEx>
          <w:tblLayout w:type="fixed"/>
          <w:tblCellMar>
            <w:top w:w="0" w:type="dxa"/>
            <w:left w:w="108" w:type="dxa"/>
            <w:bottom w:w="0" w:type="dxa"/>
            <w:right w:w="108" w:type="dxa"/>
          </w:tblCellMar>
        </w:tblPrEx>
        <w:trPr>
          <w:trHeight w:val="495"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8</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资格审查方式</w:t>
            </w:r>
          </w:p>
        </w:tc>
        <w:tc>
          <w:tcPr>
            <w:tcW w:w="5954" w:type="dxa"/>
            <w:tcBorders>
              <w:top w:val="nil"/>
              <w:left w:val="nil"/>
              <w:bottom w:val="single" w:color="auto" w:sz="4" w:space="0"/>
              <w:right w:val="single" w:color="auto" w:sz="8" w:space="0"/>
            </w:tcBorders>
            <w:shd w:val="clear" w:color="auto" w:fill="auto"/>
            <w:vAlign w:val="center"/>
          </w:tcPr>
          <w:p>
            <w:pPr>
              <w:widowControl/>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资格后审</w:t>
            </w:r>
          </w:p>
        </w:tc>
      </w:tr>
      <w:tr>
        <w:tblPrEx>
          <w:tblLayout w:type="fixed"/>
          <w:tblCellMar>
            <w:top w:w="0" w:type="dxa"/>
            <w:left w:w="108" w:type="dxa"/>
            <w:bottom w:w="0" w:type="dxa"/>
            <w:right w:w="108" w:type="dxa"/>
          </w:tblCellMar>
        </w:tblPrEx>
        <w:trPr>
          <w:trHeight w:val="495"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9</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结算方式</w:t>
            </w:r>
          </w:p>
        </w:tc>
        <w:tc>
          <w:tcPr>
            <w:tcW w:w="5954" w:type="dxa"/>
            <w:tcBorders>
              <w:top w:val="nil"/>
              <w:left w:val="nil"/>
              <w:bottom w:val="single" w:color="auto" w:sz="4" w:space="0"/>
              <w:right w:val="single" w:color="auto" w:sz="8" w:space="0"/>
            </w:tcBorders>
            <w:shd w:val="clear" w:color="auto" w:fill="auto"/>
            <w:vAlign w:val="center"/>
          </w:tcPr>
          <w:p>
            <w:pPr>
              <w:widowControl/>
              <w:rPr>
                <w:rFonts w:hint="eastAsia" w:cs="宋体" w:asciiTheme="minorEastAsia" w:hAnsiTheme="minorEastAsia" w:eastAsiaTheme="minorEastAsia"/>
                <w:color w:val="auto"/>
                <w:kern w:val="0"/>
                <w:sz w:val="20"/>
                <w:szCs w:val="20"/>
                <w:lang w:eastAsia="zh-CN"/>
              </w:rPr>
            </w:pPr>
            <w:r>
              <w:rPr>
                <w:rFonts w:hint="eastAsia" w:cs="宋体" w:asciiTheme="minorEastAsia" w:hAnsiTheme="minorEastAsia" w:eastAsiaTheme="minorEastAsia"/>
                <w:color w:val="auto"/>
                <w:kern w:val="0"/>
                <w:sz w:val="20"/>
                <w:szCs w:val="20"/>
                <w:lang w:eastAsia="zh-CN"/>
              </w:rPr>
              <w:t>由中标人与电力公司结算、电力公司与企业结算</w:t>
            </w:r>
          </w:p>
        </w:tc>
      </w:tr>
      <w:tr>
        <w:tblPrEx>
          <w:tblLayout w:type="fixed"/>
          <w:tblCellMar>
            <w:top w:w="0" w:type="dxa"/>
            <w:left w:w="108" w:type="dxa"/>
            <w:bottom w:w="0" w:type="dxa"/>
            <w:right w:w="108" w:type="dxa"/>
          </w:tblCellMar>
        </w:tblPrEx>
        <w:trPr>
          <w:trHeight w:val="403"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10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投标预备会</w:t>
            </w:r>
          </w:p>
        </w:tc>
        <w:tc>
          <w:tcPr>
            <w:tcW w:w="5954" w:type="dxa"/>
            <w:tcBorders>
              <w:top w:val="nil"/>
              <w:left w:val="nil"/>
              <w:bottom w:val="single" w:color="auto" w:sz="4" w:space="0"/>
              <w:right w:val="single" w:color="auto" w:sz="8" w:space="0"/>
            </w:tcBorders>
            <w:shd w:val="clear" w:color="auto" w:fill="auto"/>
            <w:vAlign w:val="center"/>
          </w:tcPr>
          <w:p>
            <w:pPr>
              <w:widowControl/>
              <w:jc w:val="left"/>
              <w:rPr>
                <w:rFonts w:cs="宋体" w:asciiTheme="minorEastAsia" w:hAnsiTheme="minorEastAsia" w:eastAsiaTheme="minorEastAsia"/>
                <w:color w:val="auto"/>
                <w:kern w:val="0"/>
                <w:sz w:val="20"/>
                <w:szCs w:val="20"/>
              </w:rPr>
            </w:pPr>
            <w:r>
              <w:rPr>
                <w:rFonts w:hint="eastAsia" w:ascii="宋体" w:hAnsi="宋体" w:cs="宋体"/>
                <w:color w:val="auto"/>
                <w:kern w:val="0"/>
                <w:sz w:val="20"/>
                <w:szCs w:val="20"/>
              </w:rPr>
              <w:t>无</w:t>
            </w:r>
          </w:p>
        </w:tc>
      </w:tr>
      <w:tr>
        <w:tblPrEx>
          <w:tblLayout w:type="fixed"/>
          <w:tblCellMar>
            <w:top w:w="0" w:type="dxa"/>
            <w:left w:w="108" w:type="dxa"/>
            <w:bottom w:w="0" w:type="dxa"/>
            <w:right w:w="108" w:type="dxa"/>
          </w:tblCellMar>
        </w:tblPrEx>
        <w:trPr>
          <w:trHeight w:val="405"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11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投标货币</w:t>
            </w:r>
          </w:p>
        </w:tc>
        <w:tc>
          <w:tcPr>
            <w:tcW w:w="5954" w:type="dxa"/>
            <w:tcBorders>
              <w:top w:val="nil"/>
              <w:left w:val="nil"/>
              <w:bottom w:val="single" w:color="auto" w:sz="4" w:space="0"/>
              <w:right w:val="single" w:color="auto" w:sz="8" w:space="0"/>
            </w:tcBorders>
            <w:shd w:val="clear" w:color="auto" w:fill="auto"/>
            <w:vAlign w:val="center"/>
          </w:tcPr>
          <w:p>
            <w:pPr>
              <w:widowControl/>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人民币</w:t>
            </w:r>
          </w:p>
        </w:tc>
      </w:tr>
      <w:tr>
        <w:tblPrEx>
          <w:tblLayout w:type="fixed"/>
          <w:tblCellMar>
            <w:top w:w="0" w:type="dxa"/>
            <w:left w:w="108" w:type="dxa"/>
            <w:bottom w:w="0" w:type="dxa"/>
            <w:right w:w="108" w:type="dxa"/>
          </w:tblCellMar>
        </w:tblPrEx>
        <w:trPr>
          <w:trHeight w:val="405"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12</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投标有效期</w:t>
            </w:r>
          </w:p>
        </w:tc>
        <w:tc>
          <w:tcPr>
            <w:tcW w:w="5954" w:type="dxa"/>
            <w:tcBorders>
              <w:top w:val="nil"/>
              <w:left w:val="nil"/>
              <w:bottom w:val="nil"/>
              <w:right w:val="single" w:color="auto" w:sz="8" w:space="0"/>
            </w:tcBorders>
            <w:shd w:val="clear" w:color="auto" w:fill="auto"/>
            <w:vAlign w:val="center"/>
          </w:tcPr>
          <w:p>
            <w:pPr>
              <w:widowControl/>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为：</w:t>
            </w:r>
            <w:r>
              <w:rPr>
                <w:rFonts w:hint="eastAsia" w:cs="宋体" w:asciiTheme="minorEastAsia" w:hAnsiTheme="minorEastAsia" w:eastAsiaTheme="minorEastAsia"/>
                <w:color w:val="auto"/>
                <w:kern w:val="0"/>
                <w:sz w:val="20"/>
                <w:szCs w:val="20"/>
                <w:u w:val="single"/>
              </w:rPr>
              <w:t>90个</w:t>
            </w:r>
            <w:r>
              <w:rPr>
                <w:rFonts w:hint="eastAsia" w:cs="宋体" w:asciiTheme="minorEastAsia" w:hAnsiTheme="minorEastAsia" w:eastAsiaTheme="minorEastAsia"/>
                <w:color w:val="auto"/>
                <w:kern w:val="0"/>
                <w:sz w:val="20"/>
                <w:szCs w:val="20"/>
              </w:rPr>
              <w:t>日历天（从投标截止之日算起）</w:t>
            </w:r>
          </w:p>
        </w:tc>
      </w:tr>
      <w:tr>
        <w:tblPrEx>
          <w:tblLayout w:type="fixed"/>
          <w:tblCellMar>
            <w:top w:w="0" w:type="dxa"/>
            <w:left w:w="108" w:type="dxa"/>
            <w:bottom w:w="0" w:type="dxa"/>
            <w:right w:w="108" w:type="dxa"/>
          </w:tblCellMar>
        </w:tblPrEx>
        <w:trPr>
          <w:trHeight w:val="570"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13</w:t>
            </w:r>
          </w:p>
        </w:tc>
        <w:tc>
          <w:tcPr>
            <w:tcW w:w="1701" w:type="dxa"/>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投标担保及履约担保</w:t>
            </w:r>
          </w:p>
        </w:tc>
        <w:tc>
          <w:tcPr>
            <w:tcW w:w="5954"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highlight w:val="none"/>
              </w:rPr>
              <w:t>投标保证金的数额：</w:t>
            </w:r>
            <w:r>
              <w:rPr>
                <w:rFonts w:hint="eastAsia" w:cs="宋体" w:asciiTheme="minorEastAsia" w:hAnsiTheme="minorEastAsia" w:eastAsiaTheme="minorEastAsia"/>
                <w:color w:val="auto"/>
                <w:kern w:val="0"/>
                <w:sz w:val="20"/>
                <w:szCs w:val="20"/>
                <w:highlight w:val="none"/>
                <w:u w:val="single"/>
              </w:rPr>
              <w:t>无</w:t>
            </w:r>
          </w:p>
        </w:tc>
      </w:tr>
      <w:tr>
        <w:tblPrEx>
          <w:tblLayout w:type="fixed"/>
          <w:tblCellMar>
            <w:top w:w="0" w:type="dxa"/>
            <w:left w:w="108" w:type="dxa"/>
            <w:bottom w:w="0" w:type="dxa"/>
            <w:right w:w="108" w:type="dxa"/>
          </w:tblCellMar>
        </w:tblPrEx>
        <w:trPr>
          <w:trHeight w:val="645"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14</w:t>
            </w:r>
          </w:p>
        </w:tc>
        <w:tc>
          <w:tcPr>
            <w:tcW w:w="1701" w:type="dxa"/>
            <w:tcBorders>
              <w:top w:val="single" w:color="auto" w:sz="4" w:space="0"/>
              <w:left w:val="nil"/>
              <w:bottom w:val="single" w:color="auto" w:sz="4" w:space="0"/>
              <w:right w:val="nil"/>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招标文件的获取</w:t>
            </w:r>
          </w:p>
        </w:tc>
        <w:tc>
          <w:tcPr>
            <w:tcW w:w="5954"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投标人于</w:t>
            </w:r>
            <w:r>
              <w:rPr>
                <w:rFonts w:hint="eastAsia" w:cs="宋体" w:asciiTheme="minorEastAsia" w:hAnsiTheme="minorEastAsia" w:eastAsiaTheme="minorEastAsia"/>
                <w:color w:val="auto"/>
                <w:kern w:val="0"/>
                <w:sz w:val="20"/>
                <w:szCs w:val="20"/>
                <w:u w:val="single"/>
              </w:rPr>
              <w:t>2022</w:t>
            </w:r>
            <w:r>
              <w:rPr>
                <w:rFonts w:hint="eastAsia" w:cs="宋体" w:asciiTheme="minorEastAsia" w:hAnsiTheme="minorEastAsia" w:eastAsiaTheme="minorEastAsia"/>
                <w:color w:val="auto"/>
                <w:kern w:val="0"/>
                <w:sz w:val="20"/>
                <w:szCs w:val="20"/>
              </w:rPr>
              <w:t>年</w:t>
            </w:r>
            <w:r>
              <w:rPr>
                <w:rFonts w:hint="eastAsia" w:cs="宋体" w:asciiTheme="minorEastAsia" w:hAnsiTheme="minorEastAsia" w:eastAsiaTheme="minorEastAsia"/>
                <w:color w:val="auto"/>
                <w:kern w:val="0"/>
                <w:sz w:val="20"/>
                <w:szCs w:val="20"/>
                <w:u w:val="single"/>
              </w:rPr>
              <w:t>03</w:t>
            </w:r>
            <w:r>
              <w:rPr>
                <w:rFonts w:hint="eastAsia" w:cs="宋体" w:asciiTheme="minorEastAsia" w:hAnsiTheme="minorEastAsia" w:eastAsiaTheme="minorEastAsia"/>
                <w:color w:val="auto"/>
                <w:kern w:val="0"/>
                <w:sz w:val="20"/>
                <w:szCs w:val="20"/>
              </w:rPr>
              <w:t>月</w:t>
            </w:r>
            <w:r>
              <w:rPr>
                <w:rFonts w:hint="eastAsia" w:cs="宋体" w:asciiTheme="minorEastAsia" w:hAnsiTheme="minorEastAsia" w:eastAsiaTheme="minorEastAsia"/>
                <w:color w:val="auto"/>
                <w:kern w:val="0"/>
                <w:sz w:val="20"/>
                <w:szCs w:val="20"/>
                <w:u w:val="single"/>
              </w:rPr>
              <w:t>07</w:t>
            </w:r>
            <w:r>
              <w:rPr>
                <w:rFonts w:hint="eastAsia" w:cs="宋体" w:asciiTheme="minorEastAsia" w:hAnsiTheme="minorEastAsia" w:eastAsiaTheme="minorEastAsia"/>
                <w:color w:val="auto"/>
                <w:kern w:val="0"/>
                <w:sz w:val="20"/>
                <w:szCs w:val="20"/>
              </w:rPr>
              <w:t>日</w:t>
            </w:r>
            <w:r>
              <w:rPr>
                <w:rFonts w:hint="eastAsia" w:cs="宋体" w:asciiTheme="minorEastAsia" w:hAnsiTheme="minorEastAsia" w:eastAsiaTheme="minorEastAsia"/>
                <w:color w:val="auto"/>
                <w:kern w:val="0"/>
                <w:sz w:val="20"/>
                <w:szCs w:val="20"/>
                <w:u w:val="single"/>
              </w:rPr>
              <w:t>1</w:t>
            </w:r>
            <w:r>
              <w:rPr>
                <w:rFonts w:hint="eastAsia" w:cs="宋体" w:asciiTheme="minorEastAsia" w:hAnsiTheme="minorEastAsia" w:eastAsiaTheme="minorEastAsia"/>
                <w:color w:val="auto"/>
                <w:kern w:val="0"/>
                <w:sz w:val="20"/>
                <w:szCs w:val="20"/>
                <w:u w:val="single"/>
                <w:lang w:val="en-US" w:eastAsia="zh-CN"/>
              </w:rPr>
              <w:t>7</w:t>
            </w:r>
            <w:r>
              <w:rPr>
                <w:rFonts w:hint="eastAsia" w:cs="宋体" w:asciiTheme="minorEastAsia" w:hAnsiTheme="minorEastAsia" w:eastAsiaTheme="minorEastAsia"/>
                <w:color w:val="auto"/>
                <w:kern w:val="0"/>
                <w:sz w:val="20"/>
                <w:szCs w:val="20"/>
                <w:u w:val="single"/>
              </w:rPr>
              <w:t>：00</w:t>
            </w:r>
            <w:r>
              <w:rPr>
                <w:rFonts w:hint="eastAsia" w:cs="宋体" w:asciiTheme="minorEastAsia" w:hAnsiTheme="minorEastAsia" w:eastAsiaTheme="minorEastAsia"/>
                <w:color w:val="auto"/>
                <w:kern w:val="0"/>
                <w:sz w:val="20"/>
                <w:szCs w:val="20"/>
              </w:rPr>
              <w:t>前到重庆市北部新区黄山大道中段60号1207室购买《招标文件》，每份文件售价</w:t>
            </w:r>
            <w:r>
              <w:rPr>
                <w:rFonts w:hint="eastAsia" w:cs="宋体" w:asciiTheme="minorEastAsia" w:hAnsiTheme="minorEastAsia" w:eastAsiaTheme="minorEastAsia"/>
                <w:color w:val="auto"/>
                <w:kern w:val="0"/>
                <w:sz w:val="20"/>
                <w:szCs w:val="20"/>
                <w:u w:val="single"/>
              </w:rPr>
              <w:t>￥500.00</w:t>
            </w:r>
            <w:r>
              <w:rPr>
                <w:rFonts w:hint="eastAsia" w:cs="宋体" w:asciiTheme="minorEastAsia" w:hAnsiTheme="minorEastAsia" w:eastAsiaTheme="minorEastAsia"/>
                <w:color w:val="auto"/>
                <w:kern w:val="0"/>
                <w:sz w:val="20"/>
                <w:szCs w:val="20"/>
              </w:rPr>
              <w:t>元。</w:t>
            </w:r>
          </w:p>
        </w:tc>
      </w:tr>
      <w:tr>
        <w:tblPrEx>
          <w:tblLayout w:type="fixed"/>
          <w:tblCellMar>
            <w:top w:w="0" w:type="dxa"/>
            <w:left w:w="108" w:type="dxa"/>
            <w:bottom w:w="0" w:type="dxa"/>
            <w:right w:w="108" w:type="dxa"/>
          </w:tblCellMar>
        </w:tblPrEx>
        <w:trPr>
          <w:trHeight w:val="705"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15</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 xml:space="preserve">答疑 </w:t>
            </w:r>
          </w:p>
        </w:tc>
        <w:tc>
          <w:tcPr>
            <w:tcW w:w="5954" w:type="dxa"/>
            <w:tcBorders>
              <w:top w:val="nil"/>
              <w:left w:val="nil"/>
              <w:bottom w:val="single" w:color="auto" w:sz="4" w:space="0"/>
              <w:right w:val="single" w:color="auto" w:sz="8" w:space="0"/>
            </w:tcBorders>
            <w:shd w:val="clear" w:color="auto" w:fill="auto"/>
            <w:vAlign w:val="center"/>
          </w:tcPr>
          <w:p>
            <w:pPr>
              <w:widowControl/>
              <w:jc w:val="left"/>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递交书面质疑截止时间：</w:t>
            </w:r>
            <w:r>
              <w:rPr>
                <w:rFonts w:hint="eastAsia" w:cs="宋体" w:asciiTheme="minorEastAsia" w:hAnsiTheme="minorEastAsia" w:eastAsiaTheme="minorEastAsia"/>
                <w:color w:val="auto"/>
                <w:kern w:val="0"/>
                <w:sz w:val="20"/>
                <w:szCs w:val="20"/>
                <w:u w:val="single"/>
              </w:rPr>
              <w:t>2022年03月08日1</w:t>
            </w:r>
            <w:r>
              <w:rPr>
                <w:rFonts w:hint="eastAsia" w:cs="宋体" w:asciiTheme="minorEastAsia" w:hAnsiTheme="minorEastAsia" w:eastAsiaTheme="minorEastAsia"/>
                <w:color w:val="auto"/>
                <w:kern w:val="0"/>
                <w:sz w:val="20"/>
                <w:szCs w:val="20"/>
                <w:u w:val="single"/>
                <w:lang w:val="en-US" w:eastAsia="zh-CN"/>
              </w:rPr>
              <w:t>2</w:t>
            </w:r>
            <w:r>
              <w:rPr>
                <w:rFonts w:hint="eastAsia" w:cs="宋体" w:asciiTheme="minorEastAsia" w:hAnsiTheme="minorEastAsia" w:eastAsiaTheme="minorEastAsia"/>
                <w:color w:val="auto"/>
                <w:kern w:val="0"/>
                <w:sz w:val="20"/>
                <w:szCs w:val="20"/>
                <w:u w:val="single"/>
              </w:rPr>
              <w:t>：00时前</w:t>
            </w:r>
            <w:r>
              <w:rPr>
                <w:rFonts w:hint="eastAsia" w:cs="宋体" w:asciiTheme="minorEastAsia" w:hAnsiTheme="minorEastAsia" w:eastAsiaTheme="minorEastAsia"/>
                <w:color w:val="auto"/>
                <w:kern w:val="0"/>
                <w:sz w:val="20"/>
                <w:szCs w:val="20"/>
              </w:rPr>
              <w:t>（如果有）；领取答疑时间：</w:t>
            </w:r>
            <w:r>
              <w:rPr>
                <w:rFonts w:hint="eastAsia" w:cs="宋体" w:asciiTheme="minorEastAsia" w:hAnsiTheme="minorEastAsia" w:eastAsiaTheme="minorEastAsia"/>
                <w:color w:val="auto"/>
                <w:kern w:val="0"/>
                <w:sz w:val="20"/>
                <w:szCs w:val="20"/>
                <w:u w:val="single"/>
              </w:rPr>
              <w:t>2022年03月09日1</w:t>
            </w:r>
            <w:r>
              <w:rPr>
                <w:rFonts w:hint="eastAsia" w:cs="宋体" w:asciiTheme="minorEastAsia" w:hAnsiTheme="minorEastAsia" w:eastAsiaTheme="minorEastAsia"/>
                <w:color w:val="auto"/>
                <w:kern w:val="0"/>
                <w:sz w:val="20"/>
                <w:szCs w:val="20"/>
                <w:u w:val="single"/>
                <w:lang w:val="en-US" w:eastAsia="zh-CN"/>
              </w:rPr>
              <w:t>2</w:t>
            </w:r>
            <w:r>
              <w:rPr>
                <w:rFonts w:hint="eastAsia" w:cs="宋体" w:asciiTheme="minorEastAsia" w:hAnsiTheme="minorEastAsia" w:eastAsiaTheme="minorEastAsia"/>
                <w:color w:val="auto"/>
                <w:kern w:val="0"/>
                <w:sz w:val="20"/>
                <w:szCs w:val="20"/>
                <w:u w:val="single"/>
              </w:rPr>
              <w:t>：00时前</w:t>
            </w:r>
            <w:r>
              <w:rPr>
                <w:rFonts w:hint="eastAsia" w:cs="宋体" w:asciiTheme="minorEastAsia" w:hAnsiTheme="minorEastAsia" w:eastAsiaTheme="minorEastAsia"/>
                <w:color w:val="auto"/>
                <w:kern w:val="0"/>
                <w:sz w:val="20"/>
                <w:szCs w:val="20"/>
              </w:rPr>
              <w:t>（如果有）</w:t>
            </w:r>
          </w:p>
        </w:tc>
      </w:tr>
      <w:tr>
        <w:tblPrEx>
          <w:tblLayout w:type="fixed"/>
          <w:tblCellMar>
            <w:top w:w="0" w:type="dxa"/>
            <w:left w:w="108" w:type="dxa"/>
            <w:bottom w:w="0" w:type="dxa"/>
            <w:right w:w="108" w:type="dxa"/>
          </w:tblCellMar>
        </w:tblPrEx>
        <w:trPr>
          <w:trHeight w:val="630"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16</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投标文件组成</w:t>
            </w:r>
          </w:p>
        </w:tc>
        <w:tc>
          <w:tcPr>
            <w:tcW w:w="5954" w:type="dxa"/>
            <w:tcBorders>
              <w:top w:val="nil"/>
              <w:left w:val="nil"/>
              <w:bottom w:val="nil"/>
              <w:right w:val="single" w:color="auto" w:sz="8" w:space="0"/>
            </w:tcBorders>
            <w:shd w:val="clear" w:color="auto" w:fill="auto"/>
            <w:vAlign w:val="center"/>
          </w:tcPr>
          <w:p>
            <w:pPr>
              <w:widowControl/>
              <w:jc w:val="left"/>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《招标文件》第四部分规定的内容及构成投标文件的其他材料</w:t>
            </w:r>
          </w:p>
        </w:tc>
      </w:tr>
      <w:tr>
        <w:tblPrEx>
          <w:tblLayout w:type="fixed"/>
          <w:tblCellMar>
            <w:top w:w="0" w:type="dxa"/>
            <w:left w:w="108" w:type="dxa"/>
            <w:bottom w:w="0" w:type="dxa"/>
            <w:right w:w="108" w:type="dxa"/>
          </w:tblCellMar>
        </w:tblPrEx>
        <w:trPr>
          <w:trHeight w:val="390" w:hRule="atLeast"/>
        </w:trPr>
        <w:tc>
          <w:tcPr>
            <w:tcW w:w="724"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17</w:t>
            </w:r>
          </w:p>
        </w:tc>
        <w:tc>
          <w:tcPr>
            <w:tcW w:w="1701" w:type="dxa"/>
            <w:vMerge w:val="restart"/>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投标文件提交地点及截止时间</w:t>
            </w:r>
          </w:p>
        </w:tc>
        <w:tc>
          <w:tcPr>
            <w:tcW w:w="5954" w:type="dxa"/>
            <w:tcBorders>
              <w:top w:val="single" w:color="auto" w:sz="4" w:space="0"/>
              <w:left w:val="single" w:color="auto" w:sz="4" w:space="0"/>
              <w:bottom w:val="nil"/>
              <w:right w:val="single" w:color="auto" w:sz="8" w:space="0"/>
            </w:tcBorders>
            <w:shd w:val="clear" w:color="auto" w:fill="auto"/>
            <w:vAlign w:val="center"/>
          </w:tcPr>
          <w:p>
            <w:pPr>
              <w:widowControl/>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收件人：</w:t>
            </w:r>
            <w:r>
              <w:rPr>
                <w:rFonts w:hint="eastAsia" w:cs="宋体" w:asciiTheme="minorEastAsia" w:hAnsiTheme="minorEastAsia" w:eastAsiaTheme="minorEastAsia"/>
                <w:color w:val="auto"/>
                <w:kern w:val="0"/>
                <w:sz w:val="20"/>
                <w:szCs w:val="20"/>
                <w:u w:val="single"/>
              </w:rPr>
              <w:t>重庆盛普物资有限公司</w:t>
            </w:r>
          </w:p>
        </w:tc>
      </w:tr>
      <w:tr>
        <w:tblPrEx>
          <w:tblLayout w:type="fixed"/>
          <w:tblCellMar>
            <w:top w:w="0" w:type="dxa"/>
            <w:left w:w="108" w:type="dxa"/>
            <w:bottom w:w="0" w:type="dxa"/>
            <w:right w:w="108" w:type="dxa"/>
          </w:tblCellMar>
        </w:tblPrEx>
        <w:trPr>
          <w:trHeight w:val="390" w:hRule="atLeast"/>
        </w:trPr>
        <w:tc>
          <w:tcPr>
            <w:tcW w:w="724" w:type="dxa"/>
            <w:vMerge w:val="continue"/>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b/>
                <w:color w:val="auto"/>
                <w:kern w:val="0"/>
                <w:sz w:val="20"/>
                <w:szCs w:val="20"/>
              </w:rPr>
            </w:pPr>
          </w:p>
        </w:tc>
        <w:tc>
          <w:tcPr>
            <w:tcW w:w="1701" w:type="dxa"/>
            <w:vMerge w:val="continue"/>
            <w:tcBorders>
              <w:top w:val="nil"/>
              <w:left w:val="single" w:color="auto" w:sz="4" w:space="0"/>
              <w:bottom w:val="single" w:color="auto" w:sz="4" w:space="0"/>
              <w:right w:val="nil"/>
            </w:tcBorders>
            <w:vAlign w:val="center"/>
          </w:tcPr>
          <w:p>
            <w:pPr>
              <w:widowControl/>
              <w:jc w:val="left"/>
              <w:rPr>
                <w:rFonts w:ascii="仿宋_GB2312" w:hAnsi="宋体" w:eastAsia="仿宋_GB2312" w:cs="宋体"/>
                <w:b/>
                <w:color w:val="auto"/>
                <w:kern w:val="0"/>
                <w:sz w:val="20"/>
                <w:szCs w:val="20"/>
              </w:rPr>
            </w:pPr>
          </w:p>
        </w:tc>
        <w:tc>
          <w:tcPr>
            <w:tcW w:w="5954" w:type="dxa"/>
            <w:tcBorders>
              <w:top w:val="nil"/>
              <w:left w:val="single" w:color="auto" w:sz="4" w:space="0"/>
              <w:bottom w:val="nil"/>
              <w:right w:val="single" w:color="auto" w:sz="8" w:space="0"/>
            </w:tcBorders>
            <w:shd w:val="clear" w:color="auto" w:fill="auto"/>
            <w:vAlign w:val="center"/>
          </w:tcPr>
          <w:p>
            <w:pPr>
              <w:widowControl/>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地点:</w:t>
            </w:r>
            <w:r>
              <w:rPr>
                <w:rFonts w:hint="eastAsia" w:cs="宋体" w:asciiTheme="minorEastAsia" w:hAnsiTheme="minorEastAsia" w:eastAsiaTheme="minorEastAsia"/>
                <w:color w:val="auto"/>
                <w:kern w:val="0"/>
                <w:sz w:val="20"/>
                <w:szCs w:val="20"/>
                <w:u w:val="single"/>
              </w:rPr>
              <w:t>重庆市北部新区黄山大道中段60号1207室</w:t>
            </w:r>
          </w:p>
        </w:tc>
      </w:tr>
      <w:tr>
        <w:tblPrEx>
          <w:tblLayout w:type="fixed"/>
          <w:tblCellMar>
            <w:top w:w="0" w:type="dxa"/>
            <w:left w:w="108" w:type="dxa"/>
            <w:bottom w:w="0" w:type="dxa"/>
            <w:right w:w="108" w:type="dxa"/>
          </w:tblCellMar>
        </w:tblPrEx>
        <w:trPr>
          <w:trHeight w:val="390" w:hRule="atLeast"/>
        </w:trPr>
        <w:tc>
          <w:tcPr>
            <w:tcW w:w="724" w:type="dxa"/>
            <w:vMerge w:val="continue"/>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b/>
                <w:color w:val="auto"/>
                <w:kern w:val="0"/>
                <w:sz w:val="20"/>
                <w:szCs w:val="20"/>
              </w:rPr>
            </w:pPr>
          </w:p>
        </w:tc>
        <w:tc>
          <w:tcPr>
            <w:tcW w:w="1701" w:type="dxa"/>
            <w:vMerge w:val="continue"/>
            <w:tcBorders>
              <w:top w:val="nil"/>
              <w:left w:val="single" w:color="auto" w:sz="4" w:space="0"/>
              <w:bottom w:val="single" w:color="auto" w:sz="4" w:space="0"/>
              <w:right w:val="nil"/>
            </w:tcBorders>
            <w:vAlign w:val="center"/>
          </w:tcPr>
          <w:p>
            <w:pPr>
              <w:widowControl/>
              <w:jc w:val="left"/>
              <w:rPr>
                <w:rFonts w:ascii="仿宋_GB2312" w:hAnsi="宋体" w:eastAsia="仿宋_GB2312" w:cs="宋体"/>
                <w:b/>
                <w:color w:val="auto"/>
                <w:kern w:val="0"/>
                <w:sz w:val="20"/>
                <w:szCs w:val="20"/>
              </w:rPr>
            </w:pPr>
          </w:p>
        </w:tc>
        <w:tc>
          <w:tcPr>
            <w:tcW w:w="5954" w:type="dxa"/>
            <w:tcBorders>
              <w:top w:val="nil"/>
              <w:left w:val="single" w:color="auto" w:sz="4" w:space="0"/>
              <w:bottom w:val="single" w:color="auto" w:sz="4" w:space="0"/>
              <w:right w:val="single" w:color="auto" w:sz="8" w:space="0"/>
            </w:tcBorders>
            <w:shd w:val="clear" w:color="auto" w:fill="auto"/>
            <w:vAlign w:val="center"/>
          </w:tcPr>
          <w:p>
            <w:pPr>
              <w:widowControl/>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时间（北京时间）:</w:t>
            </w:r>
            <w:r>
              <w:rPr>
                <w:rFonts w:hint="eastAsia" w:cs="宋体" w:asciiTheme="minorEastAsia" w:hAnsiTheme="minorEastAsia" w:eastAsiaTheme="minorEastAsia"/>
                <w:color w:val="auto"/>
                <w:kern w:val="0"/>
                <w:sz w:val="20"/>
                <w:szCs w:val="20"/>
                <w:highlight w:val="none"/>
                <w:u w:val="single"/>
              </w:rPr>
              <w:t>2022年03月1</w:t>
            </w:r>
            <w:r>
              <w:rPr>
                <w:rFonts w:hint="eastAsia" w:cs="宋体" w:asciiTheme="minorEastAsia" w:hAnsiTheme="minorEastAsia" w:eastAsiaTheme="minorEastAsia"/>
                <w:color w:val="auto"/>
                <w:kern w:val="0"/>
                <w:sz w:val="20"/>
                <w:szCs w:val="20"/>
                <w:highlight w:val="none"/>
                <w:u w:val="single"/>
                <w:lang w:val="en-US" w:eastAsia="zh-CN"/>
              </w:rPr>
              <w:t>1</w:t>
            </w:r>
            <w:r>
              <w:rPr>
                <w:rFonts w:hint="eastAsia" w:cs="宋体" w:asciiTheme="minorEastAsia" w:hAnsiTheme="minorEastAsia" w:eastAsiaTheme="minorEastAsia"/>
                <w:color w:val="auto"/>
                <w:kern w:val="0"/>
                <w:sz w:val="20"/>
                <w:szCs w:val="20"/>
                <w:highlight w:val="none"/>
                <w:u w:val="single"/>
              </w:rPr>
              <w:t>日14：00时止</w:t>
            </w:r>
          </w:p>
        </w:tc>
      </w:tr>
      <w:tr>
        <w:tblPrEx>
          <w:tblLayout w:type="fixed"/>
          <w:tblCellMar>
            <w:top w:w="0" w:type="dxa"/>
            <w:left w:w="108" w:type="dxa"/>
            <w:bottom w:w="0" w:type="dxa"/>
            <w:right w:w="108" w:type="dxa"/>
          </w:tblCellMar>
        </w:tblPrEx>
        <w:trPr>
          <w:trHeight w:val="615" w:hRule="atLeast"/>
        </w:trPr>
        <w:tc>
          <w:tcPr>
            <w:tcW w:w="724"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18</w:t>
            </w:r>
          </w:p>
        </w:tc>
        <w:tc>
          <w:tcPr>
            <w:tcW w:w="1701" w:type="dxa"/>
            <w:vMerge w:val="restart"/>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投标报价</w:t>
            </w:r>
          </w:p>
        </w:tc>
        <w:tc>
          <w:tcPr>
            <w:tcW w:w="5954" w:type="dxa"/>
            <w:tcBorders>
              <w:top w:val="single" w:color="auto" w:sz="4" w:space="0"/>
              <w:left w:val="single" w:color="auto" w:sz="4" w:space="0"/>
              <w:bottom w:val="nil"/>
              <w:right w:val="single" w:color="auto" w:sz="4" w:space="0"/>
            </w:tcBorders>
            <w:shd w:val="clear" w:color="auto" w:fill="auto"/>
            <w:vAlign w:val="center"/>
          </w:tcPr>
          <w:p>
            <w:pPr>
              <w:widowControl/>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1、投标人应严格按招标文件要求填写《投标报价表》，</w:t>
            </w:r>
            <w:r>
              <w:rPr>
                <w:rFonts w:hint="eastAsia" w:cs="宋体" w:asciiTheme="minorEastAsia" w:hAnsiTheme="minorEastAsia" w:eastAsiaTheme="minorEastAsia"/>
                <w:b/>
                <w:color w:val="auto"/>
                <w:kern w:val="0"/>
                <w:sz w:val="20"/>
                <w:szCs w:val="20"/>
              </w:rPr>
              <w:t>不得对招标文件规定的《投标报价表》格式进行修改及转换</w:t>
            </w:r>
            <w:r>
              <w:rPr>
                <w:rFonts w:hint="eastAsia" w:cs="宋体" w:asciiTheme="minorEastAsia" w:hAnsiTheme="minorEastAsia" w:eastAsiaTheme="minorEastAsia"/>
                <w:color w:val="auto"/>
                <w:kern w:val="0"/>
                <w:sz w:val="20"/>
                <w:szCs w:val="20"/>
              </w:rPr>
              <w:t>；</w:t>
            </w:r>
          </w:p>
        </w:tc>
      </w:tr>
      <w:tr>
        <w:tblPrEx>
          <w:tblLayout w:type="fixed"/>
          <w:tblCellMar>
            <w:top w:w="0" w:type="dxa"/>
            <w:left w:w="108" w:type="dxa"/>
            <w:bottom w:w="0" w:type="dxa"/>
            <w:right w:w="108" w:type="dxa"/>
          </w:tblCellMar>
        </w:tblPrEx>
        <w:trPr>
          <w:trHeight w:val="615" w:hRule="atLeast"/>
        </w:trPr>
        <w:tc>
          <w:tcPr>
            <w:tcW w:w="724" w:type="dxa"/>
            <w:vMerge w:val="continue"/>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b/>
                <w:color w:val="auto"/>
                <w:kern w:val="0"/>
                <w:sz w:val="20"/>
                <w:szCs w:val="20"/>
              </w:rPr>
            </w:pPr>
          </w:p>
        </w:tc>
        <w:tc>
          <w:tcPr>
            <w:tcW w:w="1701" w:type="dxa"/>
            <w:vMerge w:val="continue"/>
            <w:tcBorders>
              <w:top w:val="nil"/>
              <w:left w:val="single" w:color="auto" w:sz="4" w:space="0"/>
              <w:bottom w:val="single" w:color="auto" w:sz="4" w:space="0"/>
              <w:right w:val="nil"/>
            </w:tcBorders>
            <w:vAlign w:val="center"/>
          </w:tcPr>
          <w:p>
            <w:pPr>
              <w:widowControl/>
              <w:jc w:val="left"/>
              <w:rPr>
                <w:rFonts w:ascii="仿宋_GB2312" w:hAnsi="宋体" w:eastAsia="仿宋_GB2312" w:cs="宋体"/>
                <w:b/>
                <w:color w:val="auto"/>
                <w:kern w:val="0"/>
                <w:sz w:val="20"/>
                <w:szCs w:val="20"/>
              </w:rPr>
            </w:pPr>
          </w:p>
        </w:tc>
        <w:tc>
          <w:tcPr>
            <w:tcW w:w="5954" w:type="dxa"/>
            <w:tcBorders>
              <w:top w:val="nil"/>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2、如有疑问，投标人应于本须知16“答疑”项中规定的时间前书面通知招标人核查，以便招标人及时予以更正；</w:t>
            </w:r>
          </w:p>
        </w:tc>
      </w:tr>
      <w:tr>
        <w:tblPrEx>
          <w:tblLayout w:type="fixed"/>
          <w:tblCellMar>
            <w:top w:w="0" w:type="dxa"/>
            <w:left w:w="108" w:type="dxa"/>
            <w:bottom w:w="0" w:type="dxa"/>
            <w:right w:w="108" w:type="dxa"/>
          </w:tblCellMar>
        </w:tblPrEx>
        <w:trPr>
          <w:trHeight w:val="423" w:hRule="atLeast"/>
        </w:trPr>
        <w:tc>
          <w:tcPr>
            <w:tcW w:w="724" w:type="dxa"/>
            <w:vMerge w:val="continue"/>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b/>
                <w:color w:val="auto"/>
                <w:kern w:val="0"/>
                <w:sz w:val="20"/>
                <w:szCs w:val="20"/>
              </w:rPr>
            </w:pPr>
          </w:p>
        </w:tc>
        <w:tc>
          <w:tcPr>
            <w:tcW w:w="1701" w:type="dxa"/>
            <w:vMerge w:val="continue"/>
            <w:tcBorders>
              <w:top w:val="nil"/>
              <w:left w:val="single" w:color="auto" w:sz="4" w:space="0"/>
              <w:bottom w:val="single" w:color="auto" w:sz="4" w:space="0"/>
              <w:right w:val="nil"/>
            </w:tcBorders>
            <w:vAlign w:val="center"/>
          </w:tcPr>
          <w:p>
            <w:pPr>
              <w:widowControl/>
              <w:jc w:val="left"/>
              <w:rPr>
                <w:rFonts w:ascii="仿宋_GB2312" w:hAnsi="宋体" w:eastAsia="仿宋_GB2312" w:cs="宋体"/>
                <w:b/>
                <w:color w:val="auto"/>
                <w:kern w:val="0"/>
                <w:sz w:val="20"/>
                <w:szCs w:val="20"/>
              </w:rPr>
            </w:pPr>
          </w:p>
        </w:tc>
        <w:tc>
          <w:tcPr>
            <w:tcW w:w="5954" w:type="dxa"/>
            <w:tcBorders>
              <w:top w:val="single" w:color="auto" w:sz="4" w:space="0"/>
              <w:left w:val="single" w:color="auto" w:sz="4" w:space="0"/>
              <w:bottom w:val="nil"/>
              <w:right w:val="single" w:color="auto" w:sz="8" w:space="0"/>
            </w:tcBorders>
            <w:shd w:val="clear" w:color="auto" w:fill="auto"/>
            <w:vAlign w:val="center"/>
          </w:tcPr>
          <w:p>
            <w:pPr>
              <w:widowControl/>
              <w:rPr>
                <w:rFonts w:cs="宋体" w:asciiTheme="minorEastAsia" w:hAnsiTheme="minorEastAsia" w:eastAsiaTheme="minorEastAsia"/>
                <w:b/>
                <w:color w:val="auto"/>
                <w:kern w:val="0"/>
                <w:sz w:val="20"/>
                <w:szCs w:val="20"/>
                <w:u w:val="single"/>
              </w:rPr>
            </w:pPr>
            <w:r>
              <w:rPr>
                <w:rFonts w:hint="eastAsia" w:cs="宋体" w:asciiTheme="minorEastAsia" w:hAnsiTheme="minorEastAsia" w:eastAsiaTheme="minorEastAsia"/>
                <w:b/>
                <w:color w:val="auto"/>
                <w:kern w:val="0"/>
                <w:sz w:val="20"/>
                <w:szCs w:val="20"/>
                <w:u w:val="single"/>
              </w:rPr>
              <w:t>3、投标报价为含税价（税率为13%）。</w:t>
            </w:r>
          </w:p>
        </w:tc>
      </w:tr>
      <w:tr>
        <w:tblPrEx>
          <w:tblLayout w:type="fixed"/>
          <w:tblCellMar>
            <w:top w:w="0" w:type="dxa"/>
            <w:left w:w="108" w:type="dxa"/>
            <w:bottom w:w="0" w:type="dxa"/>
            <w:right w:w="108" w:type="dxa"/>
          </w:tblCellMar>
        </w:tblPrEx>
        <w:trPr>
          <w:trHeight w:val="960" w:hRule="atLeast"/>
        </w:trPr>
        <w:tc>
          <w:tcPr>
            <w:tcW w:w="724"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19</w:t>
            </w:r>
          </w:p>
        </w:tc>
        <w:tc>
          <w:tcPr>
            <w:tcW w:w="1701" w:type="dxa"/>
            <w:vMerge w:val="restart"/>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装订及密封要求</w:t>
            </w:r>
          </w:p>
        </w:tc>
        <w:tc>
          <w:tcPr>
            <w:tcW w:w="5954" w:type="dxa"/>
            <w:tcBorders>
              <w:top w:val="single" w:color="auto" w:sz="4" w:space="0"/>
              <w:left w:val="single" w:color="auto" w:sz="4" w:space="0"/>
              <w:bottom w:val="nil"/>
              <w:right w:val="single" w:color="auto" w:sz="8" w:space="0"/>
            </w:tcBorders>
            <w:shd w:val="clear" w:color="auto" w:fill="auto"/>
            <w:vAlign w:val="center"/>
          </w:tcPr>
          <w:p>
            <w:pPr>
              <w:widowControl/>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1、投标人应将参与投标的所有文件一并装入信封内，注明单位全称、地址、邮编、开户银行、账号、联系人及联系方式，并在投标截止时间前送达招标人指定地点。</w:t>
            </w:r>
          </w:p>
        </w:tc>
      </w:tr>
      <w:tr>
        <w:tblPrEx>
          <w:tblLayout w:type="fixed"/>
          <w:tblCellMar>
            <w:top w:w="0" w:type="dxa"/>
            <w:left w:w="108" w:type="dxa"/>
            <w:bottom w:w="0" w:type="dxa"/>
            <w:right w:w="108" w:type="dxa"/>
          </w:tblCellMar>
        </w:tblPrEx>
        <w:trPr>
          <w:trHeight w:val="930" w:hRule="atLeast"/>
        </w:trPr>
        <w:tc>
          <w:tcPr>
            <w:tcW w:w="724" w:type="dxa"/>
            <w:vMerge w:val="continue"/>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b/>
                <w:color w:val="auto"/>
                <w:kern w:val="0"/>
                <w:sz w:val="20"/>
                <w:szCs w:val="20"/>
              </w:rPr>
            </w:pPr>
          </w:p>
        </w:tc>
        <w:tc>
          <w:tcPr>
            <w:tcW w:w="1701" w:type="dxa"/>
            <w:vMerge w:val="continue"/>
            <w:tcBorders>
              <w:top w:val="nil"/>
              <w:left w:val="single" w:color="auto" w:sz="4" w:space="0"/>
              <w:bottom w:val="single" w:color="auto" w:sz="4" w:space="0"/>
              <w:right w:val="nil"/>
            </w:tcBorders>
            <w:vAlign w:val="center"/>
          </w:tcPr>
          <w:p>
            <w:pPr>
              <w:widowControl/>
              <w:jc w:val="left"/>
              <w:rPr>
                <w:rFonts w:ascii="仿宋_GB2312" w:hAnsi="宋体" w:eastAsia="仿宋_GB2312" w:cs="宋体"/>
                <w:b/>
                <w:color w:val="auto"/>
                <w:kern w:val="0"/>
                <w:sz w:val="20"/>
                <w:szCs w:val="20"/>
              </w:rPr>
            </w:pPr>
          </w:p>
        </w:tc>
        <w:tc>
          <w:tcPr>
            <w:tcW w:w="5954" w:type="dxa"/>
            <w:tcBorders>
              <w:top w:val="nil"/>
              <w:left w:val="single" w:color="auto" w:sz="4" w:space="0"/>
              <w:bottom w:val="single" w:color="auto" w:sz="4" w:space="0"/>
              <w:right w:val="single" w:color="auto" w:sz="8" w:space="0"/>
            </w:tcBorders>
            <w:shd w:val="clear" w:color="auto" w:fill="auto"/>
            <w:vAlign w:val="center"/>
          </w:tcPr>
          <w:p>
            <w:pPr>
              <w:widowControl/>
              <w:jc w:val="left"/>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2、为方便开标，投标人须将《投标报价表》加盖鲜章的纸质报价表</w:t>
            </w:r>
            <w:r>
              <w:rPr>
                <w:rFonts w:hint="eastAsia" w:cs="宋体" w:asciiTheme="minorEastAsia" w:hAnsiTheme="minorEastAsia" w:eastAsiaTheme="minorEastAsia"/>
                <w:b/>
                <w:color w:val="auto"/>
                <w:kern w:val="0"/>
                <w:sz w:val="20"/>
                <w:szCs w:val="20"/>
                <w:u w:val="single"/>
              </w:rPr>
              <w:t>单独密封</w:t>
            </w:r>
            <w:r>
              <w:rPr>
                <w:rFonts w:hint="eastAsia" w:cs="宋体" w:asciiTheme="minorEastAsia" w:hAnsiTheme="minorEastAsia" w:eastAsiaTheme="minorEastAsia"/>
                <w:color w:val="auto"/>
                <w:kern w:val="0"/>
                <w:sz w:val="20"/>
                <w:szCs w:val="20"/>
              </w:rPr>
              <w:t>，并在信封上注明</w:t>
            </w:r>
            <w:r>
              <w:rPr>
                <w:rFonts w:hint="eastAsia" w:cs="宋体" w:asciiTheme="minorEastAsia" w:hAnsiTheme="minorEastAsia" w:eastAsiaTheme="minorEastAsia"/>
                <w:color w:val="auto"/>
                <w:kern w:val="0"/>
                <w:sz w:val="20"/>
                <w:szCs w:val="20"/>
                <w:u w:val="single"/>
              </w:rPr>
              <w:t>“</w:t>
            </w:r>
            <w:r>
              <w:rPr>
                <w:rFonts w:hint="eastAsia" w:cs="宋体" w:asciiTheme="minorEastAsia" w:hAnsiTheme="minorEastAsia" w:eastAsiaTheme="minorEastAsia"/>
                <w:b/>
                <w:bCs/>
                <w:color w:val="auto"/>
                <w:kern w:val="0"/>
                <w:sz w:val="20"/>
                <w:szCs w:val="20"/>
                <w:u w:val="single"/>
              </w:rPr>
              <w:t>投标报价表，请于开标时启封</w:t>
            </w:r>
            <w:r>
              <w:rPr>
                <w:rFonts w:hint="eastAsia" w:cs="宋体" w:asciiTheme="minorEastAsia" w:hAnsiTheme="minorEastAsia" w:eastAsiaTheme="minorEastAsia"/>
                <w:color w:val="auto"/>
                <w:kern w:val="0"/>
                <w:sz w:val="20"/>
                <w:szCs w:val="20"/>
                <w:u w:val="single"/>
              </w:rPr>
              <w:t>”</w:t>
            </w:r>
            <w:r>
              <w:rPr>
                <w:rFonts w:hint="eastAsia" w:cs="宋体" w:asciiTheme="minorEastAsia" w:hAnsiTheme="minorEastAsia" w:eastAsiaTheme="minorEastAsia"/>
                <w:color w:val="auto"/>
                <w:kern w:val="0"/>
                <w:sz w:val="20"/>
                <w:szCs w:val="20"/>
              </w:rPr>
              <w:t>字样。</w:t>
            </w:r>
          </w:p>
        </w:tc>
      </w:tr>
      <w:tr>
        <w:tblPrEx>
          <w:tblLayout w:type="fixed"/>
          <w:tblCellMar>
            <w:top w:w="0" w:type="dxa"/>
            <w:left w:w="108" w:type="dxa"/>
            <w:bottom w:w="0" w:type="dxa"/>
            <w:right w:w="108" w:type="dxa"/>
          </w:tblCellMar>
        </w:tblPrEx>
        <w:trPr>
          <w:trHeight w:val="465"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20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开标会</w:t>
            </w:r>
          </w:p>
        </w:tc>
        <w:tc>
          <w:tcPr>
            <w:tcW w:w="5954" w:type="dxa"/>
            <w:tcBorders>
              <w:top w:val="nil"/>
              <w:left w:val="nil"/>
              <w:bottom w:val="nil"/>
              <w:right w:val="single" w:color="auto" w:sz="8" w:space="0"/>
            </w:tcBorders>
            <w:shd w:val="clear" w:color="auto" w:fill="auto"/>
            <w:vAlign w:val="center"/>
          </w:tcPr>
          <w:p>
            <w:pPr>
              <w:widowControl/>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招标人将于北京时间</w:t>
            </w:r>
            <w:r>
              <w:rPr>
                <w:rFonts w:hint="eastAsia" w:cs="宋体" w:asciiTheme="minorEastAsia" w:hAnsiTheme="minorEastAsia" w:eastAsiaTheme="minorEastAsia"/>
                <w:color w:val="auto"/>
                <w:kern w:val="0"/>
                <w:sz w:val="20"/>
                <w:szCs w:val="20"/>
                <w:highlight w:val="none"/>
                <w:u w:val="single"/>
              </w:rPr>
              <w:t>2022年03月1</w:t>
            </w:r>
            <w:r>
              <w:rPr>
                <w:rFonts w:hint="eastAsia" w:cs="宋体" w:asciiTheme="minorEastAsia" w:hAnsiTheme="minorEastAsia" w:eastAsiaTheme="minorEastAsia"/>
                <w:color w:val="auto"/>
                <w:kern w:val="0"/>
                <w:sz w:val="20"/>
                <w:szCs w:val="20"/>
                <w:highlight w:val="none"/>
                <w:u w:val="single"/>
                <w:lang w:val="en-US" w:eastAsia="zh-CN"/>
              </w:rPr>
              <w:t>1</w:t>
            </w:r>
            <w:r>
              <w:rPr>
                <w:rFonts w:hint="eastAsia" w:cs="宋体" w:asciiTheme="minorEastAsia" w:hAnsiTheme="minorEastAsia" w:eastAsiaTheme="minorEastAsia"/>
                <w:color w:val="auto"/>
                <w:kern w:val="0"/>
                <w:sz w:val="20"/>
                <w:szCs w:val="20"/>
                <w:highlight w:val="none"/>
                <w:u w:val="single"/>
              </w:rPr>
              <w:t>日15：00</w:t>
            </w:r>
            <w:r>
              <w:rPr>
                <w:rFonts w:hint="eastAsia" w:cs="宋体" w:asciiTheme="minorEastAsia" w:hAnsiTheme="minorEastAsia" w:eastAsiaTheme="minorEastAsia"/>
                <w:color w:val="auto"/>
                <w:kern w:val="0"/>
                <w:sz w:val="20"/>
                <w:szCs w:val="20"/>
                <w:u w:val="single"/>
              </w:rPr>
              <w:t>在重庆机电集团1303会议室举行开标会。</w:t>
            </w:r>
          </w:p>
        </w:tc>
      </w:tr>
      <w:tr>
        <w:tblPrEx>
          <w:tblLayout w:type="fixed"/>
          <w:tblCellMar>
            <w:top w:w="0" w:type="dxa"/>
            <w:left w:w="108" w:type="dxa"/>
            <w:bottom w:w="0" w:type="dxa"/>
            <w:right w:w="108" w:type="dxa"/>
          </w:tblCellMar>
        </w:tblPrEx>
        <w:trPr>
          <w:trHeight w:val="570"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21</w:t>
            </w:r>
          </w:p>
        </w:tc>
        <w:tc>
          <w:tcPr>
            <w:tcW w:w="1701" w:type="dxa"/>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废标</w:t>
            </w:r>
          </w:p>
        </w:tc>
        <w:tc>
          <w:tcPr>
            <w:tcW w:w="5954" w:type="dxa"/>
            <w:tcBorders>
              <w:top w:val="single" w:color="auto" w:sz="4" w:space="0"/>
              <w:left w:val="single" w:color="auto" w:sz="4" w:space="0"/>
              <w:bottom w:val="nil"/>
              <w:right w:val="single" w:color="auto" w:sz="8" w:space="0"/>
            </w:tcBorders>
            <w:shd w:val="clear" w:color="auto" w:fill="auto"/>
            <w:vAlign w:val="center"/>
          </w:tcPr>
          <w:p>
            <w:pPr>
              <w:widowControl/>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1、超出经营范围投标的；</w:t>
            </w:r>
          </w:p>
          <w:p>
            <w:pPr>
              <w:widowControl/>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2、资格证明文件不符合招标文件要求的；</w:t>
            </w:r>
          </w:p>
          <w:p>
            <w:pPr>
              <w:widowControl/>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3、投标文件无法定代表人签字，或签字人无法定代表有效授权书的；</w:t>
            </w:r>
          </w:p>
          <w:p>
            <w:pPr>
              <w:widowControl/>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4、投标有效期不足的。</w:t>
            </w:r>
          </w:p>
        </w:tc>
      </w:tr>
      <w:tr>
        <w:tblPrEx>
          <w:tblLayout w:type="fixed"/>
          <w:tblCellMar>
            <w:top w:w="0" w:type="dxa"/>
            <w:left w:w="108" w:type="dxa"/>
            <w:bottom w:w="0" w:type="dxa"/>
            <w:right w:w="108" w:type="dxa"/>
          </w:tblCellMar>
        </w:tblPrEx>
        <w:trPr>
          <w:trHeight w:val="570" w:hRule="atLeast"/>
        </w:trPr>
        <w:tc>
          <w:tcPr>
            <w:tcW w:w="724"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22</w:t>
            </w:r>
          </w:p>
        </w:tc>
        <w:tc>
          <w:tcPr>
            <w:tcW w:w="1701" w:type="dxa"/>
            <w:vMerge w:val="restart"/>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评标办法及评分标准</w:t>
            </w:r>
          </w:p>
        </w:tc>
        <w:tc>
          <w:tcPr>
            <w:tcW w:w="5954" w:type="dxa"/>
            <w:tcBorders>
              <w:top w:val="single" w:color="auto" w:sz="4" w:space="0"/>
              <w:left w:val="single" w:color="auto" w:sz="4" w:space="0"/>
              <w:bottom w:val="nil"/>
              <w:right w:val="single" w:color="auto" w:sz="8" w:space="0"/>
            </w:tcBorders>
            <w:shd w:val="clear" w:color="auto" w:fill="auto"/>
            <w:vAlign w:val="center"/>
          </w:tcPr>
          <w:p>
            <w:pPr>
              <w:widowControl/>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1、由重庆盛普物资有限公司进行资格后审，资格后审合格的投标人的投标为有效投标。</w:t>
            </w:r>
          </w:p>
        </w:tc>
      </w:tr>
      <w:tr>
        <w:tblPrEx>
          <w:tblLayout w:type="fixed"/>
          <w:tblCellMar>
            <w:top w:w="0" w:type="dxa"/>
            <w:left w:w="108" w:type="dxa"/>
            <w:bottom w:w="0" w:type="dxa"/>
            <w:right w:w="108" w:type="dxa"/>
          </w:tblCellMar>
        </w:tblPrEx>
        <w:trPr>
          <w:trHeight w:val="375" w:hRule="atLeast"/>
        </w:trPr>
        <w:tc>
          <w:tcPr>
            <w:tcW w:w="724" w:type="dxa"/>
            <w:vMerge w:val="continue"/>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20"/>
                <w:szCs w:val="20"/>
              </w:rPr>
            </w:pPr>
          </w:p>
        </w:tc>
        <w:tc>
          <w:tcPr>
            <w:tcW w:w="1701" w:type="dxa"/>
            <w:vMerge w:val="continue"/>
            <w:tcBorders>
              <w:top w:val="nil"/>
              <w:left w:val="single" w:color="auto" w:sz="4" w:space="0"/>
              <w:bottom w:val="single" w:color="auto" w:sz="4" w:space="0"/>
              <w:right w:val="nil"/>
            </w:tcBorders>
            <w:vAlign w:val="center"/>
          </w:tcPr>
          <w:p>
            <w:pPr>
              <w:widowControl/>
              <w:jc w:val="left"/>
              <w:rPr>
                <w:rFonts w:ascii="仿宋_GB2312" w:hAnsi="宋体" w:eastAsia="仿宋_GB2312" w:cs="宋体"/>
                <w:color w:val="auto"/>
                <w:kern w:val="0"/>
                <w:sz w:val="20"/>
                <w:szCs w:val="20"/>
              </w:rPr>
            </w:pPr>
          </w:p>
        </w:tc>
        <w:tc>
          <w:tcPr>
            <w:tcW w:w="5954" w:type="dxa"/>
            <w:tcBorders>
              <w:top w:val="nil"/>
              <w:left w:val="single" w:color="auto" w:sz="4" w:space="0"/>
              <w:bottom w:val="single" w:color="auto" w:sz="4" w:space="0"/>
              <w:right w:val="single" w:color="auto" w:sz="8" w:space="0"/>
            </w:tcBorders>
            <w:shd w:val="clear" w:color="auto" w:fill="auto"/>
            <w:vAlign w:val="center"/>
          </w:tcPr>
          <w:p>
            <w:pPr>
              <w:widowControl/>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2、具体评标办法及评分标准见第二部分：</w:t>
            </w:r>
            <w:r>
              <w:rPr>
                <w:rFonts w:hint="eastAsia" w:cs="宋体" w:asciiTheme="minorEastAsia" w:hAnsiTheme="minorEastAsia" w:eastAsiaTheme="minorEastAsia"/>
                <w:color w:val="auto"/>
                <w:kern w:val="0"/>
                <w:sz w:val="20"/>
                <w:szCs w:val="20"/>
                <w:u w:val="single"/>
              </w:rPr>
              <w:t>《评标办法》</w:t>
            </w:r>
          </w:p>
        </w:tc>
      </w:tr>
    </w:tbl>
    <w:p>
      <w:pPr>
        <w:spacing w:line="560" w:lineRule="exact"/>
        <w:ind w:firstLine="551" w:firstLineChars="196"/>
        <w:rPr>
          <w:rFonts w:ascii="楷体" w:hAnsi="楷体" w:eastAsia="楷体"/>
          <w:b/>
          <w:color w:val="auto"/>
          <w:sz w:val="28"/>
          <w:szCs w:val="28"/>
        </w:rPr>
      </w:pPr>
      <w:r>
        <w:rPr>
          <w:rFonts w:hint="eastAsia" w:ascii="楷体" w:hAnsi="楷体" w:eastAsia="楷体"/>
          <w:b/>
          <w:color w:val="auto"/>
          <w:sz w:val="28"/>
          <w:szCs w:val="28"/>
        </w:rPr>
        <w:t>一、总   则</w:t>
      </w:r>
      <w:bookmarkEnd w:id="27"/>
      <w:bookmarkEnd w:id="28"/>
      <w:bookmarkEnd w:id="29"/>
      <w:bookmarkEnd w:id="30"/>
      <w:bookmarkEnd w:id="31"/>
      <w:bookmarkEnd w:id="32"/>
      <w:bookmarkEnd w:id="33"/>
      <w:bookmarkEnd w:id="34"/>
      <w:bookmarkEnd w:id="35"/>
      <w:bookmarkEnd w:id="36"/>
    </w:p>
    <w:p>
      <w:pPr>
        <w:spacing w:line="560" w:lineRule="exact"/>
        <w:ind w:firstLine="551" w:firstLineChars="196"/>
        <w:rPr>
          <w:rFonts w:ascii="楷体" w:hAnsi="楷体" w:eastAsia="楷体"/>
          <w:b/>
          <w:color w:val="auto"/>
          <w:sz w:val="28"/>
          <w:szCs w:val="28"/>
        </w:rPr>
      </w:pPr>
      <w:r>
        <w:rPr>
          <w:rFonts w:hint="eastAsia" w:ascii="楷体" w:hAnsi="楷体" w:eastAsia="楷体"/>
          <w:b/>
          <w:bCs/>
          <w:color w:val="auto"/>
          <w:sz w:val="28"/>
          <w:szCs w:val="28"/>
        </w:rPr>
        <w:t>1.项目说明</w:t>
      </w:r>
    </w:p>
    <w:p>
      <w:pPr>
        <w:spacing w:line="56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1.1本招标项目说明详见本须知前附表第l项～第10项；</w:t>
      </w:r>
    </w:p>
    <w:p>
      <w:pPr>
        <w:spacing w:line="56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1．2本谈判项目按照《中华人民共和国招标投标法》等有关法律、行政法规和规章，通过招标方式选定中标人。</w:t>
      </w:r>
    </w:p>
    <w:p>
      <w:pPr>
        <w:spacing w:line="560" w:lineRule="exact"/>
        <w:ind w:right="-176" w:rightChars="-84" w:firstLine="562" w:firstLineChars="200"/>
        <w:rPr>
          <w:rFonts w:ascii="楷体" w:hAnsi="楷体" w:eastAsia="楷体"/>
          <w:b/>
          <w:bCs/>
          <w:color w:val="auto"/>
          <w:sz w:val="28"/>
          <w:szCs w:val="28"/>
        </w:rPr>
      </w:pPr>
      <w:r>
        <w:rPr>
          <w:rFonts w:hint="eastAsia" w:ascii="楷体" w:hAnsi="楷体" w:eastAsia="楷体"/>
          <w:b/>
          <w:bCs/>
          <w:color w:val="auto"/>
          <w:sz w:val="28"/>
          <w:szCs w:val="28"/>
        </w:rPr>
        <w:t>2.合格的投标人</w:t>
      </w:r>
    </w:p>
    <w:p>
      <w:pPr>
        <w:spacing w:line="560" w:lineRule="exact"/>
        <w:ind w:firstLine="570"/>
        <w:rPr>
          <w:rFonts w:ascii="楷体" w:hAnsi="楷体" w:eastAsia="楷体"/>
          <w:color w:val="auto"/>
          <w:sz w:val="28"/>
          <w:szCs w:val="28"/>
        </w:rPr>
      </w:pPr>
      <w:r>
        <w:rPr>
          <w:rFonts w:hint="eastAsia" w:ascii="楷体" w:hAnsi="楷体" w:eastAsia="楷体"/>
          <w:color w:val="auto"/>
          <w:sz w:val="28"/>
          <w:szCs w:val="28"/>
        </w:rPr>
        <w:t>凡通过我公司资格后审的，并遵守</w:t>
      </w:r>
      <w:r>
        <w:rPr>
          <w:rFonts w:hint="eastAsia" w:ascii="楷体" w:hAnsi="楷体" w:eastAsia="楷体"/>
          <w:bCs/>
          <w:color w:val="auto"/>
          <w:sz w:val="28"/>
          <w:szCs w:val="28"/>
        </w:rPr>
        <w:t>《中华人民共和国招标投标法》</w:t>
      </w:r>
      <w:r>
        <w:rPr>
          <w:rFonts w:hint="eastAsia" w:ascii="楷体" w:hAnsi="楷体" w:eastAsia="楷体"/>
          <w:color w:val="auto"/>
          <w:sz w:val="28"/>
          <w:szCs w:val="28"/>
        </w:rPr>
        <w:t>及有关的国家法律、法规和条例的潜在投标人均可自愿参加投标。</w:t>
      </w:r>
    </w:p>
    <w:p>
      <w:pPr>
        <w:spacing w:line="560" w:lineRule="exact"/>
        <w:ind w:right="-176" w:rightChars="-84" w:firstLine="562" w:firstLineChars="200"/>
        <w:rPr>
          <w:rFonts w:ascii="楷体" w:hAnsi="楷体" w:eastAsia="楷体"/>
          <w:b/>
          <w:bCs/>
          <w:color w:val="auto"/>
          <w:sz w:val="28"/>
          <w:szCs w:val="28"/>
        </w:rPr>
      </w:pPr>
      <w:r>
        <w:rPr>
          <w:rFonts w:hint="eastAsia" w:ascii="楷体" w:hAnsi="楷体" w:eastAsia="楷体"/>
          <w:b/>
          <w:bCs/>
          <w:color w:val="auto"/>
          <w:sz w:val="28"/>
          <w:szCs w:val="28"/>
        </w:rPr>
        <w:t>3.投标费用</w:t>
      </w:r>
    </w:p>
    <w:p>
      <w:pPr>
        <w:spacing w:line="56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无论投标过程中的作法和结果如何，投标人均应自行承担其参加本招标活动自身所发生的所有费用。</w:t>
      </w:r>
      <w:bookmarkStart w:id="37" w:name="_Toc232761305"/>
      <w:bookmarkStart w:id="38" w:name="_Toc232568053"/>
      <w:bookmarkStart w:id="39" w:name="_Toc232582270"/>
      <w:bookmarkStart w:id="40" w:name="_Toc232761847"/>
      <w:bookmarkStart w:id="41" w:name="_Toc232581780"/>
      <w:bookmarkStart w:id="42" w:name="_Toc232760995"/>
      <w:bookmarkStart w:id="43" w:name="_Toc232762577"/>
      <w:bookmarkStart w:id="44" w:name="_Toc232762155"/>
      <w:bookmarkStart w:id="45" w:name="_Toc232583433"/>
      <w:bookmarkStart w:id="46" w:name="_Toc232762236"/>
    </w:p>
    <w:p>
      <w:pPr>
        <w:spacing w:line="560" w:lineRule="exact"/>
        <w:ind w:right="-176" w:rightChars="-84" w:firstLine="562" w:firstLineChars="200"/>
        <w:rPr>
          <w:rFonts w:ascii="楷体" w:hAnsi="楷体" w:eastAsia="楷体"/>
          <w:b/>
          <w:color w:val="auto"/>
          <w:sz w:val="28"/>
          <w:szCs w:val="28"/>
        </w:rPr>
      </w:pPr>
      <w:r>
        <w:rPr>
          <w:rFonts w:hint="eastAsia" w:ascii="楷体" w:hAnsi="楷体" w:eastAsia="楷体"/>
          <w:b/>
          <w:bCs/>
          <w:color w:val="auto"/>
          <w:sz w:val="28"/>
          <w:szCs w:val="28"/>
        </w:rPr>
        <w:t>二、</w:t>
      </w:r>
      <w:r>
        <w:rPr>
          <w:rFonts w:hint="eastAsia" w:ascii="楷体" w:hAnsi="楷体" w:eastAsia="楷体"/>
          <w:b/>
          <w:color w:val="auto"/>
          <w:sz w:val="28"/>
          <w:szCs w:val="28"/>
        </w:rPr>
        <w:t>招标文件</w:t>
      </w:r>
      <w:bookmarkEnd w:id="37"/>
      <w:bookmarkEnd w:id="38"/>
      <w:bookmarkEnd w:id="39"/>
      <w:bookmarkEnd w:id="40"/>
      <w:bookmarkEnd w:id="41"/>
      <w:bookmarkEnd w:id="42"/>
      <w:bookmarkEnd w:id="43"/>
      <w:bookmarkEnd w:id="44"/>
      <w:bookmarkEnd w:id="45"/>
      <w:bookmarkEnd w:id="46"/>
    </w:p>
    <w:p>
      <w:pPr>
        <w:spacing w:line="56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投标人应详细阅读招标文件的全部内容。不按招标文件的要求提供的投标文件和资料，可能导致投标被拒绝。</w:t>
      </w:r>
    </w:p>
    <w:p>
      <w:pPr>
        <w:spacing w:line="560" w:lineRule="exact"/>
        <w:ind w:right="-176" w:rightChars="-84" w:firstLine="562" w:firstLineChars="200"/>
        <w:rPr>
          <w:rFonts w:ascii="楷体" w:hAnsi="楷体" w:eastAsia="楷体"/>
          <w:b/>
          <w:bCs/>
          <w:color w:val="auto"/>
          <w:sz w:val="28"/>
          <w:szCs w:val="28"/>
        </w:rPr>
      </w:pPr>
      <w:r>
        <w:rPr>
          <w:rFonts w:hint="eastAsia" w:ascii="楷体" w:hAnsi="楷体" w:eastAsia="楷体"/>
          <w:b/>
          <w:bCs/>
          <w:color w:val="auto"/>
          <w:sz w:val="28"/>
          <w:szCs w:val="28"/>
        </w:rPr>
        <w:t>4.招标文件的组成</w:t>
      </w:r>
    </w:p>
    <w:p>
      <w:pPr>
        <w:spacing w:line="56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4.1第一部分  投标人须知</w:t>
      </w:r>
    </w:p>
    <w:p>
      <w:pPr>
        <w:spacing w:line="560" w:lineRule="exact"/>
        <w:ind w:right="-176" w:rightChars="-84"/>
        <w:rPr>
          <w:rFonts w:ascii="楷体" w:hAnsi="楷体" w:eastAsia="楷体"/>
          <w:bCs/>
          <w:color w:val="auto"/>
          <w:sz w:val="28"/>
          <w:szCs w:val="28"/>
        </w:rPr>
      </w:pPr>
      <w:r>
        <w:rPr>
          <w:rFonts w:hint="eastAsia" w:ascii="楷体" w:hAnsi="楷体" w:eastAsia="楷体"/>
          <w:bCs/>
          <w:color w:val="auto"/>
          <w:sz w:val="28"/>
          <w:szCs w:val="28"/>
        </w:rPr>
        <w:t>　　4.2第二部分　评标办法（综合评估法）</w:t>
      </w:r>
    </w:p>
    <w:p>
      <w:pPr>
        <w:spacing w:line="560" w:lineRule="exact"/>
        <w:ind w:right="-176" w:rightChars="-84"/>
        <w:rPr>
          <w:rFonts w:ascii="楷体" w:hAnsi="楷体" w:eastAsia="楷体"/>
          <w:bCs/>
          <w:color w:val="auto"/>
          <w:sz w:val="28"/>
          <w:szCs w:val="28"/>
        </w:rPr>
      </w:pPr>
      <w:r>
        <w:rPr>
          <w:rFonts w:hint="eastAsia" w:ascii="楷体" w:hAnsi="楷体" w:eastAsia="楷体"/>
          <w:bCs/>
          <w:color w:val="auto"/>
          <w:sz w:val="28"/>
          <w:szCs w:val="28"/>
        </w:rPr>
        <w:t>　　4.3第三部分　合同条款及格式</w:t>
      </w:r>
    </w:p>
    <w:p>
      <w:pPr>
        <w:spacing w:line="560" w:lineRule="exact"/>
        <w:ind w:right="-176" w:rightChars="-84"/>
        <w:rPr>
          <w:rFonts w:ascii="楷体" w:hAnsi="楷体" w:eastAsia="楷体"/>
          <w:bCs/>
          <w:color w:val="auto"/>
          <w:sz w:val="28"/>
          <w:szCs w:val="28"/>
        </w:rPr>
      </w:pPr>
      <w:r>
        <w:rPr>
          <w:rFonts w:hint="eastAsia" w:ascii="楷体" w:hAnsi="楷体" w:eastAsia="楷体"/>
          <w:bCs/>
          <w:color w:val="auto"/>
          <w:sz w:val="28"/>
          <w:szCs w:val="28"/>
        </w:rPr>
        <w:t>　　4.4第四部分　其他要求</w:t>
      </w:r>
    </w:p>
    <w:p>
      <w:pPr>
        <w:spacing w:line="560" w:lineRule="exact"/>
        <w:ind w:right="-176" w:rightChars="-84" w:firstLine="560" w:firstLineChars="200"/>
        <w:rPr>
          <w:rFonts w:ascii="楷体" w:hAnsi="楷体" w:eastAsia="楷体"/>
          <w:b/>
          <w:bCs/>
          <w:color w:val="auto"/>
          <w:sz w:val="28"/>
          <w:szCs w:val="28"/>
        </w:rPr>
      </w:pPr>
      <w:r>
        <w:rPr>
          <w:rFonts w:hint="eastAsia" w:ascii="楷体" w:hAnsi="楷体" w:eastAsia="楷体"/>
          <w:bCs/>
          <w:color w:val="auto"/>
          <w:sz w:val="28"/>
          <w:szCs w:val="28"/>
        </w:rPr>
        <w:t>5.</w:t>
      </w:r>
      <w:r>
        <w:rPr>
          <w:rFonts w:hint="eastAsia" w:ascii="楷体" w:hAnsi="楷体" w:eastAsia="楷体"/>
          <w:b/>
          <w:bCs/>
          <w:color w:val="auto"/>
          <w:sz w:val="28"/>
          <w:szCs w:val="28"/>
        </w:rPr>
        <w:t>招标文件的澄清与修改</w:t>
      </w:r>
    </w:p>
    <w:p>
      <w:pPr>
        <w:spacing w:line="54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5.1投标人若对招标文件有任何疑问，应于投标截止日期前采用书面质询的方式。递交书面质疑的截止时间：</w:t>
      </w:r>
      <w:r>
        <w:rPr>
          <w:rFonts w:hint="eastAsia" w:ascii="楷体" w:hAnsi="楷体" w:eastAsia="楷体"/>
          <w:bCs/>
          <w:color w:val="auto"/>
          <w:sz w:val="28"/>
          <w:szCs w:val="28"/>
          <w:u w:val="single"/>
        </w:rPr>
        <w:t>2022</w:t>
      </w:r>
      <w:r>
        <w:rPr>
          <w:rFonts w:hint="eastAsia" w:ascii="楷体" w:hAnsi="楷体" w:eastAsia="楷体"/>
          <w:bCs/>
          <w:color w:val="auto"/>
          <w:sz w:val="28"/>
          <w:szCs w:val="28"/>
        </w:rPr>
        <w:t>年</w:t>
      </w:r>
      <w:r>
        <w:rPr>
          <w:rFonts w:hint="eastAsia" w:ascii="楷体" w:hAnsi="楷体" w:eastAsia="楷体"/>
          <w:bCs/>
          <w:color w:val="auto"/>
          <w:sz w:val="28"/>
          <w:szCs w:val="28"/>
          <w:u w:val="single"/>
        </w:rPr>
        <w:t>03</w:t>
      </w:r>
      <w:r>
        <w:rPr>
          <w:rFonts w:hint="eastAsia" w:ascii="楷体" w:hAnsi="楷体" w:eastAsia="楷体"/>
          <w:bCs/>
          <w:color w:val="auto"/>
          <w:sz w:val="28"/>
          <w:szCs w:val="28"/>
        </w:rPr>
        <w:t>月</w:t>
      </w:r>
      <w:r>
        <w:rPr>
          <w:rFonts w:hint="eastAsia" w:ascii="楷体" w:hAnsi="楷体" w:eastAsia="楷体"/>
          <w:bCs/>
          <w:color w:val="auto"/>
          <w:sz w:val="28"/>
          <w:szCs w:val="28"/>
          <w:u w:val="single"/>
        </w:rPr>
        <w:t>08</w:t>
      </w:r>
      <w:r>
        <w:rPr>
          <w:rFonts w:hint="eastAsia" w:ascii="楷体" w:hAnsi="楷体" w:eastAsia="楷体"/>
          <w:bCs/>
          <w:color w:val="auto"/>
          <w:sz w:val="28"/>
          <w:szCs w:val="28"/>
        </w:rPr>
        <w:t>日北京时间</w:t>
      </w:r>
      <w:r>
        <w:rPr>
          <w:rFonts w:hint="eastAsia" w:ascii="楷体" w:hAnsi="楷体" w:eastAsia="楷体"/>
          <w:bCs/>
          <w:color w:val="auto"/>
          <w:sz w:val="28"/>
          <w:szCs w:val="28"/>
          <w:u w:val="single"/>
        </w:rPr>
        <w:t>1</w:t>
      </w:r>
      <w:r>
        <w:rPr>
          <w:rFonts w:hint="eastAsia" w:ascii="楷体" w:hAnsi="楷体" w:eastAsia="楷体"/>
          <w:bCs/>
          <w:color w:val="auto"/>
          <w:sz w:val="28"/>
          <w:szCs w:val="28"/>
          <w:u w:val="single"/>
          <w:lang w:val="en-US" w:eastAsia="zh-CN"/>
        </w:rPr>
        <w:t>2</w:t>
      </w:r>
      <w:r>
        <w:rPr>
          <w:rFonts w:hint="eastAsia" w:ascii="楷体" w:hAnsi="楷体" w:eastAsia="楷体"/>
          <w:bCs/>
          <w:color w:val="auto"/>
          <w:sz w:val="28"/>
          <w:szCs w:val="28"/>
          <w:u w:val="single"/>
        </w:rPr>
        <w:t>：00</w:t>
      </w:r>
      <w:r>
        <w:rPr>
          <w:rFonts w:hint="eastAsia" w:ascii="楷体" w:hAnsi="楷体" w:eastAsia="楷体"/>
          <w:bCs/>
          <w:color w:val="auto"/>
          <w:sz w:val="28"/>
          <w:szCs w:val="28"/>
        </w:rPr>
        <w:t>时前；领取招标人答疑及补遗的时间：</w:t>
      </w:r>
      <w:r>
        <w:rPr>
          <w:rFonts w:hint="eastAsia" w:ascii="楷体" w:hAnsi="楷体" w:eastAsia="楷体"/>
          <w:bCs/>
          <w:color w:val="auto"/>
          <w:sz w:val="28"/>
          <w:szCs w:val="28"/>
          <w:u w:val="single"/>
        </w:rPr>
        <w:t>2022</w:t>
      </w:r>
      <w:r>
        <w:rPr>
          <w:rFonts w:hint="eastAsia" w:ascii="楷体" w:hAnsi="楷体" w:eastAsia="楷体"/>
          <w:bCs/>
          <w:color w:val="auto"/>
          <w:sz w:val="28"/>
          <w:szCs w:val="28"/>
        </w:rPr>
        <w:t>年</w:t>
      </w:r>
      <w:r>
        <w:rPr>
          <w:rFonts w:hint="eastAsia" w:ascii="楷体" w:hAnsi="楷体" w:eastAsia="楷体"/>
          <w:bCs/>
          <w:color w:val="auto"/>
          <w:sz w:val="28"/>
          <w:szCs w:val="28"/>
          <w:u w:val="single"/>
        </w:rPr>
        <w:t>03</w:t>
      </w:r>
      <w:r>
        <w:rPr>
          <w:rFonts w:hint="eastAsia" w:ascii="楷体" w:hAnsi="楷体" w:eastAsia="楷体"/>
          <w:bCs/>
          <w:color w:val="auto"/>
          <w:sz w:val="28"/>
          <w:szCs w:val="28"/>
        </w:rPr>
        <w:t>月</w:t>
      </w:r>
      <w:r>
        <w:rPr>
          <w:rFonts w:hint="eastAsia" w:ascii="楷体" w:hAnsi="楷体" w:eastAsia="楷体"/>
          <w:bCs/>
          <w:color w:val="auto"/>
          <w:sz w:val="28"/>
          <w:szCs w:val="28"/>
          <w:u w:val="single"/>
        </w:rPr>
        <w:t>09</w:t>
      </w:r>
      <w:r>
        <w:rPr>
          <w:rFonts w:hint="eastAsia" w:ascii="楷体" w:hAnsi="楷体" w:eastAsia="楷体"/>
          <w:bCs/>
          <w:color w:val="auto"/>
          <w:sz w:val="28"/>
          <w:szCs w:val="28"/>
        </w:rPr>
        <w:t xml:space="preserve">北京时间 </w:t>
      </w:r>
      <w:r>
        <w:rPr>
          <w:rFonts w:hint="eastAsia" w:ascii="楷体" w:hAnsi="楷体" w:eastAsia="楷体"/>
          <w:bCs/>
          <w:color w:val="auto"/>
          <w:sz w:val="28"/>
          <w:szCs w:val="28"/>
          <w:u w:val="single"/>
        </w:rPr>
        <w:t>1</w:t>
      </w:r>
      <w:r>
        <w:rPr>
          <w:rFonts w:hint="eastAsia" w:ascii="楷体" w:hAnsi="楷体" w:eastAsia="楷体"/>
          <w:bCs/>
          <w:color w:val="auto"/>
          <w:sz w:val="28"/>
          <w:szCs w:val="28"/>
          <w:u w:val="single"/>
          <w:lang w:val="en-US" w:eastAsia="zh-CN"/>
        </w:rPr>
        <w:t>2</w:t>
      </w:r>
      <w:r>
        <w:rPr>
          <w:rFonts w:hint="eastAsia" w:ascii="楷体" w:hAnsi="楷体" w:eastAsia="楷体"/>
          <w:bCs/>
          <w:color w:val="auto"/>
          <w:sz w:val="28"/>
          <w:szCs w:val="28"/>
          <w:u w:val="single"/>
        </w:rPr>
        <w:t>：00</w:t>
      </w:r>
      <w:r>
        <w:rPr>
          <w:rFonts w:hint="eastAsia" w:ascii="楷体" w:hAnsi="楷体" w:eastAsia="楷体"/>
          <w:bCs/>
          <w:color w:val="auto"/>
          <w:sz w:val="28"/>
          <w:szCs w:val="28"/>
        </w:rPr>
        <w:t>时前。递交书面质疑或领取答疑及补遗的地点：</w:t>
      </w:r>
      <w:r>
        <w:rPr>
          <w:rFonts w:hint="eastAsia" w:ascii="楷体" w:hAnsi="楷体" w:eastAsia="楷体"/>
          <w:bCs/>
          <w:color w:val="auto"/>
          <w:sz w:val="28"/>
          <w:szCs w:val="28"/>
          <w:u w:val="single"/>
        </w:rPr>
        <w:t>重庆盛普物资有限公司1207室</w:t>
      </w:r>
      <w:r>
        <w:rPr>
          <w:rFonts w:hint="eastAsia" w:ascii="楷体" w:hAnsi="楷体" w:eastAsia="楷体"/>
          <w:bCs/>
          <w:color w:val="auto"/>
          <w:sz w:val="28"/>
          <w:szCs w:val="28"/>
        </w:rPr>
        <w:t>。</w:t>
      </w:r>
    </w:p>
    <w:p>
      <w:pPr>
        <w:spacing w:line="56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5.2在投标截止时间前，招标人无论出于自己的考虑，还是出于对投标人提问的澄清，均可对招标文件用补充文件的方式进行修改。对招标文件的修改，将以书面或传真的形式，通知已购买招标文件的每一位潜在投标人。补充文件将作为招标文件的组成部分，对所有投标人均有相同约束力。</w:t>
      </w:r>
    </w:p>
    <w:p>
      <w:pPr>
        <w:spacing w:line="56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5.3投标人在收到该澄清或修改文件后应于</w:t>
      </w:r>
      <w:r>
        <w:rPr>
          <w:rFonts w:hint="eastAsia" w:ascii="楷体" w:hAnsi="楷体" w:eastAsia="楷体"/>
          <w:bCs/>
          <w:color w:val="auto"/>
          <w:sz w:val="28"/>
          <w:szCs w:val="28"/>
          <w:u w:val="single"/>
        </w:rPr>
        <w:t>1</w:t>
      </w:r>
      <w:r>
        <w:rPr>
          <w:rFonts w:hint="eastAsia" w:ascii="楷体" w:hAnsi="楷体" w:eastAsia="楷体"/>
          <w:bCs/>
          <w:color w:val="auto"/>
          <w:sz w:val="28"/>
          <w:szCs w:val="28"/>
        </w:rPr>
        <w:t>日内，以传真形式向招标人回函确认。如果投标人在规定的时间内不回函招标人，招标人将视为投标人已收到文件，招标人对此造成的任何后果不承担任何责任。该澄清或修改作为招标文件的组成部分，对所有的投标人均具有约束作用。</w:t>
      </w:r>
    </w:p>
    <w:p>
      <w:pPr>
        <w:spacing w:line="560" w:lineRule="exact"/>
        <w:ind w:right="-176" w:rightChars="-84" w:firstLine="560" w:firstLineChars="200"/>
        <w:rPr>
          <w:rFonts w:ascii="楷体" w:hAnsi="楷体" w:eastAsia="楷体"/>
          <w:bCs/>
          <w:color w:val="auto"/>
          <w:sz w:val="28"/>
          <w:szCs w:val="28"/>
        </w:rPr>
      </w:pPr>
      <w:bookmarkStart w:id="47" w:name="_Toc232761848"/>
      <w:bookmarkStart w:id="48" w:name="_Toc232762578"/>
      <w:bookmarkStart w:id="49" w:name="_Toc232582271"/>
      <w:bookmarkStart w:id="50" w:name="_Toc232761306"/>
      <w:bookmarkStart w:id="51" w:name="_Toc232760996"/>
      <w:bookmarkStart w:id="52" w:name="_Toc232583434"/>
      <w:bookmarkStart w:id="53" w:name="_Toc232762237"/>
      <w:bookmarkStart w:id="54" w:name="_Toc232762156"/>
      <w:bookmarkStart w:id="55" w:name="_Toc232581781"/>
      <w:bookmarkStart w:id="56" w:name="_Toc232568054"/>
      <w:r>
        <w:rPr>
          <w:rFonts w:hint="eastAsia" w:ascii="楷体" w:hAnsi="楷体" w:eastAsia="楷体"/>
          <w:bCs/>
          <w:color w:val="auto"/>
          <w:sz w:val="28"/>
          <w:szCs w:val="28"/>
        </w:rPr>
        <w:t>三、</w:t>
      </w:r>
      <w:r>
        <w:rPr>
          <w:rFonts w:hint="eastAsia" w:ascii="楷体" w:hAnsi="楷体" w:eastAsia="楷体"/>
          <w:b/>
          <w:color w:val="auto"/>
          <w:sz w:val="28"/>
          <w:szCs w:val="28"/>
        </w:rPr>
        <w:t>投标文件</w:t>
      </w:r>
      <w:bookmarkEnd w:id="47"/>
      <w:bookmarkEnd w:id="48"/>
      <w:bookmarkEnd w:id="49"/>
      <w:bookmarkEnd w:id="50"/>
      <w:bookmarkEnd w:id="51"/>
      <w:bookmarkEnd w:id="52"/>
      <w:bookmarkEnd w:id="53"/>
      <w:bookmarkEnd w:id="54"/>
      <w:bookmarkEnd w:id="55"/>
      <w:bookmarkEnd w:id="56"/>
    </w:p>
    <w:p>
      <w:pPr>
        <w:spacing w:line="560" w:lineRule="exact"/>
        <w:ind w:right="-176" w:rightChars="-84" w:firstLine="562" w:firstLineChars="200"/>
        <w:rPr>
          <w:rFonts w:ascii="楷体" w:hAnsi="楷体" w:eastAsia="楷体"/>
          <w:b/>
          <w:bCs/>
          <w:color w:val="auto"/>
          <w:sz w:val="28"/>
          <w:szCs w:val="28"/>
        </w:rPr>
      </w:pPr>
      <w:r>
        <w:rPr>
          <w:rFonts w:hint="eastAsia" w:ascii="楷体" w:hAnsi="楷体" w:eastAsia="楷体"/>
          <w:b/>
          <w:bCs/>
          <w:color w:val="auto"/>
          <w:sz w:val="28"/>
          <w:szCs w:val="28"/>
        </w:rPr>
        <w:t>6.投标文件的组成</w:t>
      </w:r>
    </w:p>
    <w:p>
      <w:pPr>
        <w:spacing w:line="56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6.1封面</w:t>
      </w:r>
    </w:p>
    <w:p>
      <w:pPr>
        <w:spacing w:line="56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6.2投标函</w:t>
      </w:r>
    </w:p>
    <w:p>
      <w:pPr>
        <w:spacing w:line="56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6.3已标价的投标报价表</w:t>
      </w:r>
    </w:p>
    <w:p>
      <w:pPr>
        <w:spacing w:line="56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6.4可提供增值服务证明</w:t>
      </w:r>
    </w:p>
    <w:p>
      <w:pPr>
        <w:spacing w:line="56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6.5法定代表人身份证明及授权委托书</w:t>
      </w:r>
    </w:p>
    <w:p>
      <w:pPr>
        <w:spacing w:line="56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6.6招标文件要求投标人提交的其他投标资料</w:t>
      </w:r>
    </w:p>
    <w:p>
      <w:pPr>
        <w:spacing w:line="560" w:lineRule="exact"/>
        <w:ind w:right="-176" w:rightChars="-84" w:firstLine="562" w:firstLineChars="200"/>
        <w:rPr>
          <w:rFonts w:ascii="楷体" w:hAnsi="楷体" w:eastAsia="楷体"/>
          <w:b/>
          <w:bCs/>
          <w:color w:val="auto"/>
          <w:sz w:val="28"/>
          <w:szCs w:val="28"/>
        </w:rPr>
      </w:pPr>
      <w:r>
        <w:rPr>
          <w:rFonts w:hint="eastAsia" w:ascii="楷体" w:hAnsi="楷体" w:eastAsia="楷体"/>
          <w:b/>
          <w:bCs/>
          <w:color w:val="auto"/>
          <w:sz w:val="28"/>
          <w:szCs w:val="28"/>
        </w:rPr>
        <w:t>7.投标报价</w:t>
      </w:r>
    </w:p>
    <w:p>
      <w:pPr>
        <w:spacing w:line="56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7.1投标人可先到重庆机电集团所属企业了解供电要求等任何其他足以影响投标报价的情况。</w:t>
      </w:r>
    </w:p>
    <w:p>
      <w:pPr>
        <w:spacing w:line="560" w:lineRule="exact"/>
        <w:ind w:right="-176" w:rightChars="-84" w:firstLine="560" w:firstLineChars="200"/>
        <w:rPr>
          <w:rFonts w:ascii="楷体" w:hAnsi="楷体" w:eastAsia="楷体"/>
          <w:bCs/>
          <w:color w:val="auto"/>
          <w:sz w:val="28"/>
          <w:szCs w:val="28"/>
        </w:rPr>
      </w:pPr>
      <w:r>
        <w:rPr>
          <w:rFonts w:ascii="楷体" w:hAnsi="楷体" w:eastAsia="楷体"/>
          <w:bCs/>
          <w:color w:val="auto"/>
          <w:sz w:val="28"/>
          <w:szCs w:val="28"/>
        </w:rPr>
        <w:t>7.2投标人根据现行</w:t>
      </w:r>
      <w:r>
        <w:rPr>
          <w:rFonts w:hint="eastAsia" w:ascii="楷体" w:hAnsi="楷体" w:eastAsia="楷体"/>
          <w:bCs/>
          <w:color w:val="auto"/>
          <w:sz w:val="28"/>
          <w:szCs w:val="28"/>
          <w:lang w:eastAsia="zh-CN"/>
        </w:rPr>
        <w:t>燃煤发电基准价</w:t>
      </w:r>
      <w:r>
        <w:rPr>
          <w:rFonts w:ascii="楷体" w:hAnsi="楷体" w:eastAsia="楷体"/>
          <w:bCs/>
          <w:color w:val="auto"/>
          <w:sz w:val="28"/>
          <w:szCs w:val="28"/>
        </w:rPr>
        <w:t>确定投标人自身</w:t>
      </w:r>
      <w:r>
        <w:rPr>
          <w:rFonts w:hint="eastAsia" w:ascii="楷体" w:hAnsi="楷体" w:eastAsia="楷体"/>
          <w:bCs/>
          <w:color w:val="auto"/>
          <w:sz w:val="28"/>
          <w:szCs w:val="28"/>
          <w:lang w:eastAsia="zh-CN"/>
        </w:rPr>
        <w:t>现行分时段平段</w:t>
      </w:r>
      <w:r>
        <w:rPr>
          <w:rFonts w:ascii="楷体" w:hAnsi="楷体" w:eastAsia="楷体"/>
          <w:bCs/>
          <w:color w:val="auto"/>
          <w:sz w:val="28"/>
          <w:szCs w:val="28"/>
        </w:rPr>
        <w:t>电价</w:t>
      </w:r>
      <w:r>
        <w:rPr>
          <w:rFonts w:hint="eastAsia" w:ascii="楷体" w:hAnsi="楷体" w:eastAsia="楷体"/>
          <w:bCs/>
          <w:color w:val="auto"/>
          <w:sz w:val="28"/>
          <w:szCs w:val="28"/>
          <w:lang w:eastAsia="zh-CN"/>
        </w:rPr>
        <w:t>，其余分时段电价按政府现行文件确定的电价系数执行。应承诺，即使中标，如遇政府政策文件调整，以调整后政策文件为准</w:t>
      </w:r>
      <w:r>
        <w:rPr>
          <w:rFonts w:ascii="楷体" w:hAnsi="楷体" w:eastAsia="楷体"/>
          <w:bCs/>
          <w:color w:val="auto"/>
          <w:sz w:val="28"/>
          <w:szCs w:val="28"/>
        </w:rPr>
        <w:t>。</w:t>
      </w:r>
    </w:p>
    <w:p>
      <w:pPr>
        <w:spacing w:line="560" w:lineRule="exact"/>
        <w:ind w:firstLine="560" w:firstLineChars="200"/>
        <w:rPr>
          <w:rFonts w:ascii="楷体" w:hAnsi="楷体" w:eastAsia="楷体"/>
          <w:color w:val="auto"/>
          <w:sz w:val="28"/>
          <w:szCs w:val="28"/>
        </w:rPr>
      </w:pPr>
      <w:r>
        <w:rPr>
          <w:rFonts w:hint="eastAsia" w:ascii="楷体" w:hAnsi="楷体" w:eastAsia="楷体"/>
          <w:color w:val="auto"/>
          <w:sz w:val="28"/>
          <w:szCs w:val="28"/>
        </w:rPr>
        <w:t>7.3投标人不得以低于成本的报价竞标，也不得以他人名义投标或者以其他方式弄虚作假骗取中标，否则，招标人有权没收投标人的投标保证金。</w:t>
      </w:r>
    </w:p>
    <w:p>
      <w:pPr>
        <w:spacing w:line="560" w:lineRule="exact"/>
        <w:ind w:right="-176" w:rightChars="-84" w:firstLine="562" w:firstLineChars="200"/>
        <w:rPr>
          <w:rFonts w:ascii="楷体" w:hAnsi="楷体" w:eastAsia="楷体"/>
          <w:b/>
          <w:bCs/>
          <w:color w:val="auto"/>
          <w:sz w:val="28"/>
          <w:szCs w:val="28"/>
        </w:rPr>
      </w:pPr>
      <w:r>
        <w:rPr>
          <w:rFonts w:hint="eastAsia" w:ascii="楷体" w:hAnsi="楷体" w:eastAsia="楷体"/>
          <w:b/>
          <w:bCs/>
          <w:color w:val="auto"/>
          <w:sz w:val="28"/>
          <w:szCs w:val="28"/>
        </w:rPr>
        <w:t>8.投标有效期</w:t>
      </w:r>
    </w:p>
    <w:p>
      <w:pPr>
        <w:spacing w:line="56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8.1投标有效期见本须知前附表第12项所规定的期限，在此期限内，凡符合本招标文件要求的投标文件均保持有效。</w:t>
      </w:r>
    </w:p>
    <w:p>
      <w:pPr>
        <w:spacing w:line="56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8.2在特殊情况下，招标人在原定投标有效期内，可以根据需要以书面形式向投标人提出延长投标有效期的要求，对此要求投标人须以书面形式予以答复，投标人有权拒绝招标人此要求</w:t>
      </w:r>
    </w:p>
    <w:p>
      <w:pPr>
        <w:spacing w:line="56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8.3同意延长投标有效期的投标人不允许修改其投标文件。</w:t>
      </w:r>
    </w:p>
    <w:p>
      <w:pPr>
        <w:spacing w:line="560" w:lineRule="exact"/>
        <w:ind w:right="-176" w:rightChars="-84" w:firstLine="562" w:firstLineChars="200"/>
        <w:rPr>
          <w:rFonts w:ascii="楷体" w:hAnsi="楷体" w:eastAsia="楷体"/>
          <w:b/>
          <w:bCs/>
          <w:color w:val="auto"/>
          <w:sz w:val="28"/>
          <w:szCs w:val="28"/>
        </w:rPr>
      </w:pPr>
      <w:bookmarkStart w:id="57" w:name="_Toc232761849"/>
      <w:bookmarkStart w:id="58" w:name="_Toc232582272"/>
      <w:bookmarkStart w:id="59" w:name="_Toc232762157"/>
      <w:bookmarkStart w:id="60" w:name="_Toc232762238"/>
      <w:bookmarkStart w:id="61" w:name="_Toc232581782"/>
      <w:bookmarkStart w:id="62" w:name="_Toc232761307"/>
      <w:bookmarkStart w:id="63" w:name="_Toc232583435"/>
      <w:bookmarkStart w:id="64" w:name="_Toc232762579"/>
      <w:bookmarkStart w:id="65" w:name="_Toc232568055"/>
      <w:bookmarkStart w:id="66" w:name="_Toc232760997"/>
      <w:r>
        <w:rPr>
          <w:rFonts w:hint="eastAsia" w:ascii="楷体" w:hAnsi="楷体" w:eastAsia="楷体"/>
          <w:b/>
          <w:bCs/>
          <w:color w:val="auto"/>
          <w:sz w:val="28"/>
          <w:szCs w:val="28"/>
        </w:rPr>
        <w:t>四、</w:t>
      </w:r>
      <w:r>
        <w:rPr>
          <w:rFonts w:hint="eastAsia" w:ascii="楷体" w:hAnsi="楷体" w:eastAsia="楷体"/>
          <w:b/>
          <w:color w:val="auto"/>
          <w:sz w:val="28"/>
          <w:szCs w:val="28"/>
        </w:rPr>
        <w:t>投标</w:t>
      </w:r>
      <w:bookmarkEnd w:id="57"/>
      <w:bookmarkEnd w:id="58"/>
      <w:bookmarkEnd w:id="59"/>
      <w:bookmarkEnd w:id="60"/>
      <w:bookmarkEnd w:id="61"/>
      <w:bookmarkEnd w:id="62"/>
      <w:bookmarkEnd w:id="63"/>
      <w:bookmarkEnd w:id="64"/>
      <w:bookmarkEnd w:id="65"/>
      <w:bookmarkEnd w:id="66"/>
    </w:p>
    <w:p>
      <w:pPr>
        <w:spacing w:line="560" w:lineRule="exact"/>
        <w:ind w:right="-176" w:rightChars="-84" w:firstLine="562" w:firstLineChars="200"/>
        <w:rPr>
          <w:rFonts w:ascii="楷体" w:hAnsi="楷体" w:eastAsia="楷体"/>
          <w:b/>
          <w:bCs/>
          <w:color w:val="auto"/>
          <w:sz w:val="28"/>
          <w:szCs w:val="28"/>
        </w:rPr>
      </w:pPr>
      <w:r>
        <w:rPr>
          <w:rFonts w:hint="eastAsia" w:ascii="楷体" w:hAnsi="楷体" w:eastAsia="楷体"/>
          <w:b/>
          <w:bCs/>
          <w:color w:val="auto"/>
          <w:sz w:val="28"/>
          <w:szCs w:val="28"/>
        </w:rPr>
        <w:t>9.投标文件的装订、密封和标记</w:t>
      </w:r>
    </w:p>
    <w:p>
      <w:pPr>
        <w:spacing w:line="56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投标人应严格按本须知第19项要求对投标文件进行装订及密封。</w:t>
      </w:r>
    </w:p>
    <w:p>
      <w:pPr>
        <w:spacing w:line="560" w:lineRule="exact"/>
        <w:ind w:right="-176" w:rightChars="-84" w:firstLine="562" w:firstLineChars="200"/>
        <w:rPr>
          <w:rFonts w:ascii="楷体" w:hAnsi="楷体" w:eastAsia="楷体"/>
          <w:b/>
          <w:bCs/>
          <w:color w:val="auto"/>
          <w:sz w:val="28"/>
          <w:szCs w:val="28"/>
        </w:rPr>
      </w:pPr>
      <w:r>
        <w:rPr>
          <w:rFonts w:hint="eastAsia" w:ascii="楷体" w:hAnsi="楷体" w:eastAsia="楷体"/>
          <w:b/>
          <w:bCs/>
          <w:color w:val="auto"/>
          <w:sz w:val="28"/>
          <w:szCs w:val="28"/>
        </w:rPr>
        <w:t>10.迟交的投标文件</w:t>
      </w:r>
    </w:p>
    <w:p>
      <w:pPr>
        <w:spacing w:line="56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招标人在本须知第17条规定的投标截止时间以后收到的投标文件，将被拒绝并退回给投标人。</w:t>
      </w:r>
    </w:p>
    <w:p>
      <w:pPr>
        <w:spacing w:line="560" w:lineRule="exact"/>
        <w:ind w:right="-176" w:rightChars="-84" w:firstLine="562" w:firstLineChars="200"/>
        <w:rPr>
          <w:rFonts w:ascii="楷体" w:hAnsi="楷体" w:eastAsia="楷体"/>
          <w:b/>
          <w:bCs/>
          <w:color w:val="auto"/>
          <w:sz w:val="28"/>
          <w:szCs w:val="28"/>
        </w:rPr>
      </w:pPr>
      <w:r>
        <w:rPr>
          <w:rFonts w:hint="eastAsia" w:ascii="楷体" w:hAnsi="楷体" w:eastAsia="楷体"/>
          <w:b/>
          <w:bCs/>
          <w:color w:val="auto"/>
          <w:sz w:val="28"/>
          <w:szCs w:val="28"/>
        </w:rPr>
        <w:t>11.投标文件的补充、修改与撤回</w:t>
      </w:r>
    </w:p>
    <w:p>
      <w:pPr>
        <w:spacing w:line="56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11.1投标人在提交投标文件以后，在规定的投标截止时间之前，可以书面形式补充修改或撤回已提交的投标文件，并以书面形式通知招标人。补充、修改的内容为投标文件的有效组成部分。</w:t>
      </w:r>
    </w:p>
    <w:p>
      <w:pPr>
        <w:spacing w:line="56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11.2投标人对投标文件的补充、修改，应按本须知第19条有关规定密封、标记和提交，并在投标文件密封袋上清楚标明“补充、修改”或“撤回”字样。</w:t>
      </w:r>
    </w:p>
    <w:p>
      <w:pPr>
        <w:spacing w:line="56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11．3在投标文件提交的截止时间之后至投标有效期满之前，投标人不得撤回其投书标文件，否则其投标保证金招标人将不予退还。</w:t>
      </w:r>
      <w:bookmarkStart w:id="67" w:name="_Toc232760999"/>
      <w:bookmarkStart w:id="68" w:name="_Toc232762581"/>
      <w:bookmarkStart w:id="69" w:name="_Toc232762159"/>
      <w:bookmarkStart w:id="70" w:name="_Toc232568057"/>
      <w:bookmarkStart w:id="71" w:name="_Toc232761309"/>
      <w:bookmarkStart w:id="72" w:name="_Toc232762240"/>
      <w:bookmarkStart w:id="73" w:name="_Toc232582274"/>
      <w:bookmarkStart w:id="74" w:name="_Toc232583437"/>
      <w:bookmarkStart w:id="75" w:name="_Toc232581784"/>
      <w:bookmarkStart w:id="76" w:name="_Toc232761851"/>
    </w:p>
    <w:p>
      <w:pPr>
        <w:spacing w:line="560" w:lineRule="exact"/>
        <w:ind w:right="-176" w:rightChars="-84" w:firstLine="562" w:firstLineChars="200"/>
        <w:rPr>
          <w:rFonts w:ascii="楷体" w:hAnsi="楷体" w:eastAsia="楷体"/>
          <w:b/>
          <w:bCs/>
          <w:color w:val="auto"/>
          <w:sz w:val="28"/>
          <w:szCs w:val="28"/>
        </w:rPr>
      </w:pPr>
      <w:r>
        <w:rPr>
          <w:rFonts w:hint="eastAsia" w:ascii="楷体" w:hAnsi="楷体" w:eastAsia="楷体"/>
          <w:b/>
          <w:bCs/>
          <w:color w:val="auto"/>
          <w:sz w:val="28"/>
          <w:szCs w:val="28"/>
        </w:rPr>
        <w:t>五、开标</w:t>
      </w:r>
    </w:p>
    <w:p>
      <w:pPr>
        <w:spacing w:line="56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12.1招标人按照招标文件规定的时间、地点主持公开开标。</w:t>
      </w:r>
    </w:p>
    <w:p>
      <w:pPr>
        <w:spacing w:line="56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12.2投标人可派代表参加开标仪式。</w:t>
      </w:r>
    </w:p>
    <w:p>
      <w:pPr>
        <w:spacing w:line="56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12.3开标时查验投标文件的密封情况，确认无误拆封唱标。</w:t>
      </w:r>
    </w:p>
    <w:p>
      <w:pPr>
        <w:spacing w:line="56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12.4招标人在开标仪式上，公布投标人名称、投标标的物名称、投标价格及其投标的修改等内容，工作人员将做好唱标记录。</w:t>
      </w:r>
    </w:p>
    <w:p>
      <w:pPr>
        <w:spacing w:line="560" w:lineRule="exact"/>
        <w:ind w:right="-176" w:rightChars="-84" w:firstLine="562" w:firstLineChars="200"/>
        <w:rPr>
          <w:rFonts w:ascii="楷体" w:hAnsi="楷体" w:eastAsia="楷体"/>
          <w:b/>
          <w:bCs/>
          <w:color w:val="auto"/>
          <w:sz w:val="28"/>
          <w:szCs w:val="28"/>
        </w:rPr>
      </w:pPr>
      <w:r>
        <w:rPr>
          <w:rFonts w:hint="eastAsia" w:ascii="楷体" w:hAnsi="楷体" w:eastAsia="楷体"/>
          <w:b/>
          <w:color w:val="auto"/>
          <w:sz w:val="28"/>
          <w:szCs w:val="28"/>
        </w:rPr>
        <w:t>六、评 标</w:t>
      </w:r>
      <w:bookmarkEnd w:id="67"/>
      <w:bookmarkEnd w:id="68"/>
      <w:bookmarkEnd w:id="69"/>
      <w:bookmarkEnd w:id="70"/>
      <w:bookmarkEnd w:id="71"/>
      <w:bookmarkEnd w:id="72"/>
      <w:bookmarkEnd w:id="73"/>
      <w:bookmarkEnd w:id="74"/>
      <w:bookmarkEnd w:id="75"/>
      <w:bookmarkEnd w:id="76"/>
    </w:p>
    <w:p>
      <w:pPr>
        <w:spacing w:line="560" w:lineRule="exact"/>
        <w:ind w:firstLine="551" w:firstLineChars="196"/>
        <w:rPr>
          <w:rFonts w:ascii="楷体" w:hAnsi="楷体" w:eastAsia="楷体"/>
          <w:b/>
          <w:bCs/>
          <w:color w:val="auto"/>
          <w:sz w:val="28"/>
          <w:szCs w:val="28"/>
        </w:rPr>
      </w:pPr>
      <w:r>
        <w:rPr>
          <w:rFonts w:hint="eastAsia" w:ascii="楷体" w:hAnsi="楷体" w:eastAsia="楷体"/>
          <w:b/>
          <w:bCs/>
          <w:color w:val="auto"/>
          <w:sz w:val="28"/>
          <w:szCs w:val="28"/>
        </w:rPr>
        <w:t>13.评标委员会与评标</w:t>
      </w:r>
    </w:p>
    <w:p>
      <w:pPr>
        <w:spacing w:line="56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13.1招标人依据招标项目特点负责依法组建评标委员会。</w:t>
      </w:r>
    </w:p>
    <w:p>
      <w:pPr>
        <w:spacing w:line="56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13.2评标采用保密方式进行。</w:t>
      </w:r>
    </w:p>
    <w:p>
      <w:pPr>
        <w:spacing w:line="56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13.3具体评标办法及评分标准详见第二部分《评标办法》。</w:t>
      </w:r>
    </w:p>
    <w:p>
      <w:pPr>
        <w:spacing w:line="560" w:lineRule="exact"/>
        <w:ind w:right="-176" w:rightChars="-84" w:firstLine="562" w:firstLineChars="200"/>
        <w:rPr>
          <w:rFonts w:ascii="楷体" w:hAnsi="楷体" w:eastAsia="楷体"/>
          <w:b/>
          <w:bCs/>
          <w:color w:val="auto"/>
          <w:sz w:val="28"/>
          <w:szCs w:val="28"/>
        </w:rPr>
      </w:pPr>
      <w:r>
        <w:rPr>
          <w:rFonts w:hint="eastAsia" w:ascii="楷体" w:hAnsi="楷体" w:eastAsia="楷体"/>
          <w:b/>
          <w:bCs/>
          <w:color w:val="auto"/>
          <w:sz w:val="28"/>
          <w:szCs w:val="28"/>
        </w:rPr>
        <w:t>七、中标</w:t>
      </w:r>
    </w:p>
    <w:p>
      <w:pPr>
        <w:spacing w:line="560" w:lineRule="exact"/>
        <w:ind w:right="-176" w:rightChars="-84" w:firstLine="562" w:firstLineChars="200"/>
        <w:rPr>
          <w:rFonts w:ascii="楷体" w:hAnsi="楷体" w:eastAsia="楷体"/>
          <w:b/>
          <w:bCs/>
          <w:color w:val="auto"/>
          <w:sz w:val="28"/>
          <w:szCs w:val="28"/>
        </w:rPr>
      </w:pPr>
      <w:r>
        <w:rPr>
          <w:rFonts w:hint="eastAsia" w:ascii="楷体" w:hAnsi="楷体" w:eastAsia="楷体"/>
          <w:b/>
          <w:bCs/>
          <w:color w:val="auto"/>
          <w:sz w:val="28"/>
          <w:szCs w:val="28"/>
        </w:rPr>
        <w:t>14.中标确定</w:t>
      </w:r>
    </w:p>
    <w:p>
      <w:pPr>
        <w:spacing w:line="56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14.1招标人以总得分的高低确定中标人。</w:t>
      </w:r>
    </w:p>
    <w:p>
      <w:pPr>
        <w:spacing w:line="560" w:lineRule="exact"/>
        <w:ind w:right="-176" w:rightChars="-84" w:firstLine="562" w:firstLineChars="200"/>
        <w:rPr>
          <w:rFonts w:ascii="楷体" w:hAnsi="楷体" w:eastAsia="楷体"/>
          <w:b/>
          <w:bCs/>
          <w:color w:val="auto"/>
          <w:sz w:val="28"/>
          <w:szCs w:val="28"/>
        </w:rPr>
      </w:pPr>
      <w:r>
        <w:rPr>
          <w:rFonts w:hint="eastAsia" w:ascii="楷体" w:hAnsi="楷体" w:eastAsia="楷体"/>
          <w:b/>
          <w:bCs/>
          <w:color w:val="auto"/>
          <w:sz w:val="28"/>
          <w:szCs w:val="28"/>
        </w:rPr>
        <w:t>15.中标份额分配</w:t>
      </w:r>
    </w:p>
    <w:p>
      <w:pPr>
        <w:spacing w:line="560" w:lineRule="exact"/>
        <w:ind w:right="-176" w:rightChars="-84" w:firstLine="560" w:firstLineChars="200"/>
        <w:rPr>
          <w:rFonts w:ascii="楷体" w:hAnsi="楷体" w:eastAsia="楷体"/>
          <w:bCs/>
          <w:color w:val="auto"/>
          <w:sz w:val="28"/>
          <w:szCs w:val="28"/>
          <w:highlight w:val="yellow"/>
        </w:rPr>
      </w:pPr>
      <w:r>
        <w:rPr>
          <w:rFonts w:hint="eastAsia" w:ascii="楷体" w:hAnsi="楷体" w:eastAsia="楷体"/>
          <w:bCs/>
          <w:color w:val="auto"/>
          <w:sz w:val="28"/>
          <w:szCs w:val="28"/>
          <w:highlight w:val="none"/>
          <w:u w:val="single"/>
        </w:rPr>
        <w:t>本次招标确定1名中标人。</w:t>
      </w:r>
    </w:p>
    <w:p>
      <w:pPr>
        <w:spacing w:line="540" w:lineRule="exact"/>
        <w:ind w:right="-176" w:rightChars="-84" w:firstLine="562" w:firstLineChars="200"/>
        <w:rPr>
          <w:rFonts w:ascii="楷体" w:hAnsi="楷体" w:eastAsia="楷体"/>
          <w:b/>
          <w:color w:val="auto"/>
          <w:sz w:val="28"/>
          <w:szCs w:val="28"/>
        </w:rPr>
      </w:pPr>
      <w:r>
        <w:rPr>
          <w:rFonts w:hint="eastAsia" w:ascii="楷体" w:hAnsi="楷体" w:eastAsia="楷体"/>
          <w:b/>
          <w:color w:val="auto"/>
          <w:sz w:val="28"/>
          <w:szCs w:val="28"/>
        </w:rPr>
        <w:t>八、招标过程保密</w:t>
      </w:r>
    </w:p>
    <w:p>
      <w:pPr>
        <w:spacing w:line="540" w:lineRule="exact"/>
        <w:ind w:right="-176" w:rightChars="-84" w:firstLine="570"/>
        <w:rPr>
          <w:rFonts w:ascii="楷体" w:hAnsi="楷体" w:eastAsia="楷体"/>
          <w:b/>
          <w:color w:val="auto"/>
          <w:sz w:val="28"/>
          <w:szCs w:val="28"/>
        </w:rPr>
      </w:pPr>
      <w:r>
        <w:rPr>
          <w:rFonts w:hint="eastAsia" w:ascii="楷体" w:hAnsi="楷体" w:eastAsia="楷体"/>
          <w:b/>
          <w:color w:val="auto"/>
          <w:sz w:val="28"/>
          <w:szCs w:val="28"/>
        </w:rPr>
        <w:t>16.保密事项</w:t>
      </w:r>
    </w:p>
    <w:p>
      <w:pPr>
        <w:spacing w:line="540" w:lineRule="exact"/>
        <w:ind w:right="-176" w:rightChars="-84" w:firstLine="570"/>
        <w:rPr>
          <w:rFonts w:ascii="楷体" w:hAnsi="楷体" w:eastAsia="楷体"/>
          <w:color w:val="auto"/>
          <w:sz w:val="28"/>
          <w:szCs w:val="28"/>
        </w:rPr>
      </w:pPr>
      <w:r>
        <w:rPr>
          <w:rFonts w:hint="eastAsia" w:ascii="楷体" w:hAnsi="楷体" w:eastAsia="楷体"/>
          <w:color w:val="auto"/>
          <w:sz w:val="28"/>
          <w:szCs w:val="28"/>
        </w:rPr>
        <w:t>16.1招标人不得向他人透露已获取招标文件的投标人的名称、数量，以及可能影响公平竞争的有关招标投标的其他情况。</w:t>
      </w:r>
    </w:p>
    <w:p>
      <w:pPr>
        <w:spacing w:line="540" w:lineRule="exact"/>
        <w:ind w:right="-176" w:rightChars="-84" w:firstLine="570"/>
        <w:rPr>
          <w:rFonts w:ascii="楷体" w:hAnsi="楷体" w:eastAsia="楷体"/>
          <w:color w:val="auto"/>
          <w:sz w:val="28"/>
          <w:szCs w:val="28"/>
        </w:rPr>
      </w:pPr>
      <w:r>
        <w:rPr>
          <w:rFonts w:hint="eastAsia" w:ascii="楷体" w:hAnsi="楷体" w:eastAsia="楷体"/>
          <w:color w:val="auto"/>
          <w:sz w:val="28"/>
          <w:szCs w:val="28"/>
        </w:rPr>
        <w:t>16.2开标之后，直到授予中标人合同止，凡是属于审查、澄清、评价和比较投标的有关资料以及授标意向等，均不得向投标人或其他无关人员透露。</w:t>
      </w:r>
    </w:p>
    <w:p>
      <w:pPr>
        <w:spacing w:line="540" w:lineRule="exact"/>
        <w:ind w:right="-176" w:rightChars="-84" w:firstLine="570"/>
        <w:rPr>
          <w:rFonts w:ascii="楷体" w:hAnsi="楷体" w:eastAsia="楷体"/>
          <w:color w:val="auto"/>
          <w:sz w:val="28"/>
          <w:szCs w:val="28"/>
        </w:rPr>
      </w:pPr>
      <w:r>
        <w:rPr>
          <w:rFonts w:hint="eastAsia" w:ascii="楷体" w:hAnsi="楷体" w:eastAsia="楷体"/>
          <w:color w:val="auto"/>
          <w:sz w:val="28"/>
          <w:szCs w:val="28"/>
        </w:rPr>
        <w:t>16.3评标期间，投标人企图影响招标人的任何活动，将导致其投标被拒绝，并承担相应的法律责任。</w:t>
      </w:r>
    </w:p>
    <w:p>
      <w:pPr>
        <w:spacing w:line="540" w:lineRule="exact"/>
        <w:ind w:right="-176" w:rightChars="-84" w:firstLine="570"/>
        <w:rPr>
          <w:rFonts w:ascii="楷体" w:hAnsi="楷体" w:eastAsia="楷体"/>
          <w:b/>
          <w:color w:val="auto"/>
          <w:sz w:val="28"/>
          <w:szCs w:val="28"/>
        </w:rPr>
      </w:pPr>
      <w:r>
        <w:rPr>
          <w:rFonts w:hint="eastAsia" w:ascii="楷体" w:hAnsi="楷体" w:eastAsia="楷体"/>
          <w:b/>
          <w:color w:val="auto"/>
          <w:sz w:val="28"/>
          <w:szCs w:val="28"/>
        </w:rPr>
        <w:t>九、授予合同</w:t>
      </w:r>
    </w:p>
    <w:p>
      <w:pPr>
        <w:spacing w:line="540" w:lineRule="exact"/>
        <w:ind w:right="-176" w:rightChars="-84" w:firstLine="570"/>
        <w:rPr>
          <w:rFonts w:ascii="楷体" w:hAnsi="楷体" w:eastAsia="楷体"/>
          <w:b/>
          <w:color w:val="auto"/>
          <w:sz w:val="28"/>
          <w:szCs w:val="28"/>
        </w:rPr>
      </w:pPr>
      <w:r>
        <w:rPr>
          <w:rFonts w:hint="eastAsia" w:ascii="楷体" w:hAnsi="楷体" w:eastAsia="楷体"/>
          <w:b/>
          <w:color w:val="auto"/>
          <w:sz w:val="28"/>
          <w:szCs w:val="28"/>
        </w:rPr>
        <w:t>17.中标通知书</w:t>
      </w:r>
    </w:p>
    <w:p>
      <w:pPr>
        <w:spacing w:line="540" w:lineRule="exact"/>
        <w:ind w:right="-176" w:rightChars="-84" w:firstLine="570"/>
        <w:rPr>
          <w:rFonts w:ascii="楷体" w:hAnsi="楷体" w:eastAsia="楷体"/>
          <w:color w:val="auto"/>
          <w:sz w:val="28"/>
          <w:szCs w:val="28"/>
        </w:rPr>
      </w:pPr>
      <w:r>
        <w:rPr>
          <w:rFonts w:hint="eastAsia" w:ascii="楷体" w:hAnsi="楷体" w:eastAsia="楷体"/>
          <w:color w:val="auto"/>
          <w:sz w:val="28"/>
          <w:szCs w:val="28"/>
        </w:rPr>
        <w:t>17.1在投标有效期内，招标人以《中标通知书》形式通知所选定的中标人。</w:t>
      </w:r>
    </w:p>
    <w:p>
      <w:pPr>
        <w:spacing w:line="540" w:lineRule="exact"/>
        <w:ind w:right="-176" w:rightChars="-84" w:firstLine="570"/>
        <w:rPr>
          <w:rFonts w:ascii="楷体" w:hAnsi="楷体" w:eastAsia="楷体"/>
          <w:color w:val="auto"/>
          <w:sz w:val="28"/>
          <w:szCs w:val="28"/>
        </w:rPr>
      </w:pPr>
      <w:r>
        <w:rPr>
          <w:rFonts w:hint="eastAsia" w:ascii="楷体" w:hAnsi="楷体" w:eastAsia="楷体"/>
          <w:color w:val="auto"/>
          <w:sz w:val="28"/>
          <w:szCs w:val="28"/>
        </w:rPr>
        <w:t>17.2当中标人与重庆机电集团所属企业签订中标经济合同后，招标人将向其他投标人发出落标通知，招标人原则上对落标的投标人不作落标原因的解释。</w:t>
      </w:r>
    </w:p>
    <w:p>
      <w:pPr>
        <w:spacing w:line="540" w:lineRule="exact"/>
        <w:ind w:right="-176" w:rightChars="-84" w:firstLine="570"/>
        <w:rPr>
          <w:rFonts w:ascii="楷体" w:hAnsi="楷体" w:eastAsia="楷体"/>
          <w:color w:val="auto"/>
          <w:sz w:val="28"/>
          <w:szCs w:val="28"/>
        </w:rPr>
      </w:pPr>
      <w:r>
        <w:rPr>
          <w:rFonts w:hint="eastAsia" w:ascii="楷体" w:hAnsi="楷体" w:eastAsia="楷体"/>
          <w:color w:val="auto"/>
          <w:sz w:val="28"/>
          <w:szCs w:val="28"/>
        </w:rPr>
        <w:t>17.3中标通知书将是合同的组成部分。</w:t>
      </w:r>
    </w:p>
    <w:p>
      <w:pPr>
        <w:spacing w:line="540" w:lineRule="exact"/>
        <w:ind w:right="-176" w:rightChars="-84" w:firstLine="570"/>
        <w:rPr>
          <w:rFonts w:ascii="楷体" w:hAnsi="楷体" w:eastAsia="楷体"/>
          <w:b/>
          <w:color w:val="auto"/>
          <w:sz w:val="28"/>
          <w:szCs w:val="28"/>
        </w:rPr>
      </w:pPr>
      <w:r>
        <w:rPr>
          <w:rFonts w:hint="eastAsia" w:ascii="楷体" w:hAnsi="楷体" w:eastAsia="楷体"/>
          <w:b/>
          <w:color w:val="auto"/>
          <w:sz w:val="28"/>
          <w:szCs w:val="28"/>
        </w:rPr>
        <w:t>18.签订合同</w:t>
      </w:r>
    </w:p>
    <w:p>
      <w:pPr>
        <w:spacing w:line="540" w:lineRule="exact"/>
        <w:ind w:right="-176" w:rightChars="-84" w:firstLine="570"/>
        <w:rPr>
          <w:rFonts w:ascii="楷体" w:hAnsi="楷体" w:eastAsia="楷体"/>
          <w:color w:val="auto"/>
          <w:sz w:val="28"/>
          <w:szCs w:val="28"/>
        </w:rPr>
      </w:pPr>
      <w:r>
        <w:rPr>
          <w:rFonts w:hint="eastAsia" w:ascii="楷体" w:hAnsi="楷体" w:eastAsia="楷体"/>
          <w:color w:val="auto"/>
          <w:sz w:val="28"/>
          <w:szCs w:val="28"/>
        </w:rPr>
        <w:t>18.1中标人应按中标通知书规定的时间、地点与重庆机电集团</w:t>
      </w:r>
      <w:r>
        <w:rPr>
          <w:rFonts w:hint="eastAsia" w:ascii="楷体" w:hAnsi="楷体" w:eastAsia="楷体"/>
          <w:color w:val="auto"/>
          <w:sz w:val="28"/>
          <w:szCs w:val="28"/>
          <w:lang w:eastAsia="zh-CN"/>
        </w:rPr>
        <w:t>及</w:t>
      </w:r>
      <w:r>
        <w:rPr>
          <w:rFonts w:hint="eastAsia" w:ascii="楷体" w:hAnsi="楷体" w:eastAsia="楷体"/>
          <w:color w:val="auto"/>
          <w:sz w:val="28"/>
          <w:szCs w:val="28"/>
        </w:rPr>
        <w:t>所属企业签订中标经济合同，否则按开标后撤回投标处理。</w:t>
      </w:r>
    </w:p>
    <w:p>
      <w:pPr>
        <w:spacing w:line="540" w:lineRule="exact"/>
        <w:ind w:right="-176" w:rightChars="-84" w:firstLine="570"/>
        <w:rPr>
          <w:rFonts w:ascii="楷体" w:hAnsi="楷体" w:eastAsia="楷体"/>
          <w:color w:val="auto"/>
          <w:sz w:val="28"/>
          <w:szCs w:val="28"/>
        </w:rPr>
      </w:pPr>
      <w:r>
        <w:rPr>
          <w:rFonts w:hint="eastAsia" w:ascii="楷体" w:hAnsi="楷体" w:eastAsia="楷体"/>
          <w:color w:val="auto"/>
          <w:sz w:val="28"/>
          <w:szCs w:val="28"/>
        </w:rPr>
        <w:t>18.2招标文件、中标人的投标文件及评标过程中的有关澄清文件均应作为合同附件。</w:t>
      </w:r>
    </w:p>
    <w:p>
      <w:pPr>
        <w:spacing w:line="540" w:lineRule="exact"/>
        <w:ind w:right="-176" w:rightChars="-84" w:firstLine="562" w:firstLineChars="200"/>
        <w:rPr>
          <w:rFonts w:ascii="楷体" w:hAnsi="楷体" w:eastAsia="楷体"/>
          <w:b/>
          <w:bCs/>
          <w:color w:val="auto"/>
          <w:sz w:val="28"/>
          <w:szCs w:val="28"/>
        </w:rPr>
      </w:pPr>
      <w:r>
        <w:rPr>
          <w:rFonts w:hint="eastAsia" w:ascii="楷体" w:hAnsi="楷体" w:eastAsia="楷体"/>
          <w:b/>
          <w:bCs/>
          <w:color w:val="auto"/>
          <w:sz w:val="28"/>
          <w:szCs w:val="28"/>
        </w:rPr>
        <w:t>19.预计用电需求</w:t>
      </w:r>
    </w:p>
    <w:p>
      <w:pPr>
        <w:spacing w:line="540" w:lineRule="exact"/>
        <w:ind w:right="-176" w:rightChars="-84"/>
        <w:jc w:val="center"/>
        <w:rPr>
          <w:rFonts w:ascii="楷体" w:hAnsi="楷体" w:eastAsia="楷体"/>
          <w:b/>
          <w:bCs/>
          <w:color w:val="auto"/>
          <w:sz w:val="28"/>
          <w:szCs w:val="28"/>
        </w:rPr>
      </w:pPr>
      <w:r>
        <w:rPr>
          <w:rFonts w:hint="eastAsia" w:ascii="楷体" w:hAnsi="楷体" w:eastAsia="楷体"/>
          <w:b/>
          <w:bCs/>
          <w:color w:val="auto"/>
          <w:sz w:val="28"/>
          <w:szCs w:val="28"/>
        </w:rPr>
        <w:t>机电集团2022年全年企业用电信息</w:t>
      </w:r>
    </w:p>
    <w:tbl>
      <w:tblPr>
        <w:tblStyle w:val="8"/>
        <w:tblW w:w="8281" w:type="dxa"/>
        <w:tblInd w:w="0" w:type="dxa"/>
        <w:tblLayout w:type="fixed"/>
        <w:tblCellMar>
          <w:top w:w="0" w:type="dxa"/>
          <w:left w:w="0" w:type="dxa"/>
          <w:bottom w:w="0" w:type="dxa"/>
          <w:right w:w="0" w:type="dxa"/>
        </w:tblCellMar>
      </w:tblPr>
      <w:tblGrid>
        <w:gridCol w:w="818"/>
        <w:gridCol w:w="1675"/>
        <w:gridCol w:w="2013"/>
        <w:gridCol w:w="1862"/>
        <w:gridCol w:w="1913"/>
      </w:tblGrid>
      <w:tr>
        <w:tblPrEx>
          <w:tblLayout w:type="fixed"/>
          <w:tblCellMar>
            <w:top w:w="0" w:type="dxa"/>
            <w:left w:w="0" w:type="dxa"/>
            <w:bottom w:w="0" w:type="dxa"/>
            <w:right w:w="0"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序号</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企业名称</w:t>
            </w:r>
          </w:p>
        </w:tc>
        <w:tc>
          <w:tcPr>
            <w:tcW w:w="2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预计2022年用电量 （单位：万度）</w:t>
            </w:r>
          </w:p>
        </w:tc>
        <w:tc>
          <w:tcPr>
            <w:tcW w:w="1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接入电压等级（kV）</w:t>
            </w:r>
          </w:p>
        </w:tc>
        <w:tc>
          <w:tcPr>
            <w:tcW w:w="1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报装容量（kVA）</w:t>
            </w:r>
          </w:p>
        </w:tc>
      </w:tr>
      <w:tr>
        <w:tblPrEx>
          <w:tblLayout w:type="fixed"/>
          <w:tblCellMar>
            <w:top w:w="0" w:type="dxa"/>
            <w:left w:w="0" w:type="dxa"/>
            <w:bottom w:w="0" w:type="dxa"/>
            <w:right w:w="0" w:type="dxa"/>
          </w:tblCellMar>
        </w:tblPrEx>
        <w:trPr>
          <w:trHeight w:val="3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建安公司</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145</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1030</w:t>
            </w:r>
          </w:p>
        </w:tc>
      </w:tr>
      <w:tr>
        <w:tblPrEx>
          <w:tblLayout w:type="fixed"/>
          <w:tblCellMar>
            <w:top w:w="0" w:type="dxa"/>
            <w:left w:w="0" w:type="dxa"/>
            <w:bottom w:w="0" w:type="dxa"/>
            <w:right w:w="0" w:type="dxa"/>
          </w:tblCellMar>
        </w:tblPrEx>
        <w:trPr>
          <w:trHeight w:val="3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重泵公司</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585</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5150</w:t>
            </w:r>
          </w:p>
        </w:tc>
      </w:tr>
      <w:tr>
        <w:tblPrEx>
          <w:tblLayout w:type="fixed"/>
          <w:tblCellMar>
            <w:top w:w="0" w:type="dxa"/>
            <w:left w:w="0" w:type="dxa"/>
            <w:bottom w:w="0" w:type="dxa"/>
            <w:right w:w="0" w:type="dxa"/>
          </w:tblCellMar>
        </w:tblPrEx>
        <w:trPr>
          <w:trHeight w:val="3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3</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机床集团</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1900</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19118</w:t>
            </w:r>
          </w:p>
        </w:tc>
      </w:tr>
      <w:tr>
        <w:tblPrEx>
          <w:tblLayout w:type="fixed"/>
          <w:tblCellMar>
            <w:top w:w="0" w:type="dxa"/>
            <w:left w:w="0" w:type="dxa"/>
            <w:bottom w:w="0" w:type="dxa"/>
            <w:right w:w="0" w:type="dxa"/>
          </w:tblCellMar>
        </w:tblPrEx>
        <w:trPr>
          <w:trHeight w:val="3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4</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鸽牌公司</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1450</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6600</w:t>
            </w:r>
          </w:p>
        </w:tc>
      </w:tr>
      <w:tr>
        <w:tblPrEx>
          <w:tblLayout w:type="fixed"/>
          <w:tblCellMar>
            <w:top w:w="0" w:type="dxa"/>
            <w:left w:w="0" w:type="dxa"/>
            <w:bottom w:w="0" w:type="dxa"/>
            <w:right w:w="0" w:type="dxa"/>
          </w:tblCellMar>
        </w:tblPrEx>
        <w:trPr>
          <w:trHeight w:val="3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5</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重水公司</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700</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35</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6300</w:t>
            </w:r>
          </w:p>
        </w:tc>
      </w:tr>
      <w:tr>
        <w:tblPrEx>
          <w:tblLayout w:type="fixed"/>
          <w:tblCellMar>
            <w:top w:w="0" w:type="dxa"/>
            <w:left w:w="0" w:type="dxa"/>
            <w:bottom w:w="0" w:type="dxa"/>
            <w:right w:w="0" w:type="dxa"/>
          </w:tblCellMar>
        </w:tblPrEx>
        <w:trPr>
          <w:trHeight w:val="3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6</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重庆ABB</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1850</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7000</w:t>
            </w:r>
          </w:p>
        </w:tc>
      </w:tr>
      <w:tr>
        <w:tblPrEx>
          <w:tblLayout w:type="fixed"/>
          <w:tblCellMar>
            <w:top w:w="0" w:type="dxa"/>
            <w:left w:w="0" w:type="dxa"/>
            <w:bottom w:w="0" w:type="dxa"/>
            <w:right w:w="0" w:type="dxa"/>
          </w:tblCellMar>
        </w:tblPrEx>
        <w:trPr>
          <w:trHeight w:val="34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7</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上菲红</w:t>
            </w:r>
          </w:p>
        </w:tc>
        <w:tc>
          <w:tcPr>
            <w:tcW w:w="20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 xml:space="preserve">1825 </w:t>
            </w:r>
          </w:p>
        </w:tc>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6000</w:t>
            </w:r>
          </w:p>
        </w:tc>
      </w:tr>
      <w:tr>
        <w:tblPrEx>
          <w:tblLayout w:type="fixed"/>
          <w:tblCellMar>
            <w:top w:w="0" w:type="dxa"/>
            <w:left w:w="0" w:type="dxa"/>
            <w:bottom w:w="0" w:type="dxa"/>
            <w:right w:w="0" w:type="dxa"/>
          </w:tblCellMar>
        </w:tblPrEx>
        <w:trPr>
          <w:trHeight w:val="3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4000</w:t>
            </w:r>
          </w:p>
        </w:tc>
      </w:tr>
      <w:tr>
        <w:tblPrEx>
          <w:tblLayout w:type="fixed"/>
          <w:tblCellMar>
            <w:top w:w="0" w:type="dxa"/>
            <w:left w:w="0" w:type="dxa"/>
            <w:bottom w:w="0" w:type="dxa"/>
            <w:right w:w="0" w:type="dxa"/>
          </w:tblCellMar>
        </w:tblPrEx>
        <w:trPr>
          <w:trHeight w:val="3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8</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重通集团</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520</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4000</w:t>
            </w:r>
          </w:p>
        </w:tc>
      </w:tr>
      <w:tr>
        <w:tblPrEx>
          <w:tblLayout w:type="fixed"/>
          <w:tblCellMar>
            <w:top w:w="0" w:type="dxa"/>
            <w:left w:w="0" w:type="dxa"/>
            <w:bottom w:w="0" w:type="dxa"/>
            <w:right w:w="0" w:type="dxa"/>
          </w:tblCellMar>
        </w:tblPrEx>
        <w:trPr>
          <w:trHeight w:val="34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綦齿传动</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1500</w:t>
            </w:r>
          </w:p>
        </w:tc>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8230</w:t>
            </w:r>
          </w:p>
        </w:tc>
      </w:tr>
      <w:tr>
        <w:tblPrEx>
          <w:tblLayout w:type="fixed"/>
          <w:tblCellMar>
            <w:top w:w="0" w:type="dxa"/>
            <w:left w:w="0" w:type="dxa"/>
            <w:bottom w:w="0" w:type="dxa"/>
            <w:right w:w="0" w:type="dxa"/>
          </w:tblCellMar>
        </w:tblPrEx>
        <w:trPr>
          <w:trHeight w:val="3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750</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9475</w:t>
            </w:r>
          </w:p>
        </w:tc>
      </w:tr>
      <w:tr>
        <w:tblPrEx>
          <w:tblLayout w:type="fixed"/>
          <w:tblCellMar>
            <w:top w:w="0" w:type="dxa"/>
            <w:left w:w="0" w:type="dxa"/>
            <w:bottom w:w="0" w:type="dxa"/>
            <w:right w:w="0" w:type="dxa"/>
          </w:tblCellMar>
        </w:tblPrEx>
        <w:trPr>
          <w:trHeight w:val="3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30</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4650</w:t>
            </w:r>
          </w:p>
        </w:tc>
      </w:tr>
      <w:tr>
        <w:tblPrEx>
          <w:tblLayout w:type="fixed"/>
          <w:tblCellMar>
            <w:top w:w="0" w:type="dxa"/>
            <w:left w:w="0" w:type="dxa"/>
            <w:bottom w:w="0" w:type="dxa"/>
            <w:right w:w="0" w:type="dxa"/>
          </w:tblCellMar>
        </w:tblPrEx>
        <w:trPr>
          <w:trHeight w:val="3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720</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7630</w:t>
            </w:r>
          </w:p>
        </w:tc>
      </w:tr>
      <w:tr>
        <w:tblPrEx>
          <w:tblLayout w:type="fixed"/>
          <w:tblCellMar>
            <w:top w:w="0" w:type="dxa"/>
            <w:left w:w="0" w:type="dxa"/>
            <w:bottom w:w="0" w:type="dxa"/>
            <w:right w:w="0" w:type="dxa"/>
          </w:tblCellMar>
        </w:tblPrEx>
        <w:trPr>
          <w:trHeight w:val="340" w:hRule="atLeast"/>
        </w:trPr>
        <w:tc>
          <w:tcPr>
            <w:tcW w:w="818"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w:t>
            </w:r>
          </w:p>
        </w:tc>
        <w:tc>
          <w:tcPr>
            <w:tcW w:w="1675"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西计公司</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700</w:t>
            </w:r>
          </w:p>
        </w:tc>
        <w:tc>
          <w:tcPr>
            <w:tcW w:w="18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6100</w:t>
            </w:r>
          </w:p>
        </w:tc>
      </w:tr>
      <w:tr>
        <w:tblPrEx>
          <w:tblLayout w:type="fixed"/>
          <w:tblCellMar>
            <w:top w:w="0" w:type="dxa"/>
            <w:left w:w="0" w:type="dxa"/>
            <w:bottom w:w="0" w:type="dxa"/>
            <w:right w:w="0" w:type="dxa"/>
          </w:tblCellMar>
        </w:tblPrEx>
        <w:trPr>
          <w:trHeight w:val="340" w:hRule="atLeast"/>
        </w:trPr>
        <w:tc>
          <w:tcPr>
            <w:tcW w:w="818"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167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360</w:t>
            </w:r>
          </w:p>
        </w:tc>
        <w:tc>
          <w:tcPr>
            <w:tcW w:w="18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3600</w:t>
            </w:r>
          </w:p>
        </w:tc>
      </w:tr>
      <w:tr>
        <w:tblPrEx>
          <w:tblLayout w:type="fixed"/>
          <w:tblCellMar>
            <w:top w:w="0" w:type="dxa"/>
            <w:left w:w="0" w:type="dxa"/>
            <w:bottom w:w="0" w:type="dxa"/>
            <w:right w:w="0" w:type="dxa"/>
          </w:tblCellMar>
        </w:tblPrEx>
        <w:trPr>
          <w:trHeight w:val="340" w:hRule="atLeast"/>
        </w:trPr>
        <w:tc>
          <w:tcPr>
            <w:tcW w:w="818"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167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70</w:t>
            </w:r>
          </w:p>
        </w:tc>
        <w:tc>
          <w:tcPr>
            <w:tcW w:w="18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630</w:t>
            </w:r>
          </w:p>
        </w:tc>
      </w:tr>
      <w:tr>
        <w:tblPrEx>
          <w:tblLayout w:type="fixed"/>
          <w:tblCellMar>
            <w:top w:w="0" w:type="dxa"/>
            <w:left w:w="0" w:type="dxa"/>
            <w:bottom w:w="0" w:type="dxa"/>
            <w:right w:w="0" w:type="dxa"/>
          </w:tblCellMar>
        </w:tblPrEx>
        <w:trPr>
          <w:trHeight w:val="3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11</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爱思帝</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94</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5100</w:t>
            </w:r>
          </w:p>
        </w:tc>
      </w:tr>
      <w:tr>
        <w:tblPrEx>
          <w:tblLayout w:type="fixed"/>
          <w:tblCellMar>
            <w:top w:w="0" w:type="dxa"/>
            <w:left w:w="0" w:type="dxa"/>
            <w:bottom w:w="0" w:type="dxa"/>
            <w:right w:w="0" w:type="dxa"/>
          </w:tblCellMar>
        </w:tblPrEx>
        <w:trPr>
          <w:trHeight w:val="34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12</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上汽红岩</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1717</w:t>
            </w:r>
          </w:p>
        </w:tc>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w:t>
            </w:r>
          </w:p>
        </w:tc>
        <w:tc>
          <w:tcPr>
            <w:tcW w:w="19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44350</w:t>
            </w:r>
          </w:p>
        </w:tc>
      </w:tr>
      <w:tr>
        <w:tblPrEx>
          <w:tblLayout w:type="fixed"/>
          <w:tblCellMar>
            <w:top w:w="0" w:type="dxa"/>
            <w:left w:w="0" w:type="dxa"/>
            <w:bottom w:w="0" w:type="dxa"/>
            <w:right w:w="0" w:type="dxa"/>
          </w:tblCellMar>
        </w:tblPrEx>
        <w:trPr>
          <w:trHeight w:val="3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2261</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r>
      <w:tr>
        <w:tblPrEx>
          <w:tblLayout w:type="fixed"/>
          <w:tblCellMar>
            <w:top w:w="0" w:type="dxa"/>
            <w:left w:w="0" w:type="dxa"/>
            <w:bottom w:w="0" w:type="dxa"/>
            <w:right w:w="0" w:type="dxa"/>
          </w:tblCellMar>
        </w:tblPrEx>
        <w:trPr>
          <w:trHeight w:val="3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139</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r>
      <w:tr>
        <w:tblPrEx>
          <w:tblLayout w:type="fixed"/>
          <w:tblCellMar>
            <w:top w:w="0" w:type="dxa"/>
            <w:left w:w="0" w:type="dxa"/>
            <w:bottom w:w="0" w:type="dxa"/>
            <w:right w:w="0" w:type="dxa"/>
          </w:tblCellMar>
        </w:tblPrEx>
        <w:trPr>
          <w:trHeight w:val="3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1191</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r>
      <w:tr>
        <w:tblPrEx>
          <w:tblLayout w:type="fixed"/>
          <w:tblCellMar>
            <w:top w:w="0" w:type="dxa"/>
            <w:left w:w="0" w:type="dxa"/>
            <w:bottom w:w="0" w:type="dxa"/>
            <w:right w:w="0" w:type="dxa"/>
          </w:tblCellMar>
        </w:tblPrEx>
        <w:trPr>
          <w:trHeight w:val="3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359</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r>
      <w:tr>
        <w:tblPrEx>
          <w:tblLayout w:type="fixed"/>
          <w:tblCellMar>
            <w:top w:w="0" w:type="dxa"/>
            <w:left w:w="0" w:type="dxa"/>
            <w:bottom w:w="0" w:type="dxa"/>
            <w:right w:w="0" w:type="dxa"/>
          </w:tblCellMar>
        </w:tblPrEx>
        <w:trPr>
          <w:trHeight w:val="3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13</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资产公司</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1250</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6030</w:t>
            </w:r>
          </w:p>
        </w:tc>
      </w:tr>
      <w:tr>
        <w:tblPrEx>
          <w:tblLayout w:type="fixed"/>
          <w:tblCellMar>
            <w:top w:w="0" w:type="dxa"/>
            <w:left w:w="0" w:type="dxa"/>
            <w:bottom w:w="0" w:type="dxa"/>
            <w:right w:w="0" w:type="dxa"/>
          </w:tblCellMar>
        </w:tblPrEx>
        <w:trPr>
          <w:trHeight w:val="3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14</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重变公司</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185</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2000</w:t>
            </w:r>
          </w:p>
        </w:tc>
      </w:tr>
      <w:tr>
        <w:tblPrEx>
          <w:tblLayout w:type="fixed"/>
          <w:tblCellMar>
            <w:top w:w="0" w:type="dxa"/>
            <w:left w:w="0" w:type="dxa"/>
            <w:bottom w:w="0" w:type="dxa"/>
            <w:right w:w="0" w:type="dxa"/>
          </w:tblCellMar>
        </w:tblPrEx>
        <w:trPr>
          <w:trHeight w:val="34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15</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重标双福</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1000</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3500</w:t>
            </w:r>
          </w:p>
        </w:tc>
      </w:tr>
      <w:tr>
        <w:tblPrEx>
          <w:tblLayout w:type="fixed"/>
          <w:tblCellMar>
            <w:top w:w="0" w:type="dxa"/>
            <w:left w:w="0" w:type="dxa"/>
            <w:bottom w:w="0" w:type="dxa"/>
            <w:right w:w="0" w:type="dxa"/>
          </w:tblCellMar>
        </w:tblPrEx>
        <w:trPr>
          <w:trHeight w:val="3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重标珞璜</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600</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2250</w:t>
            </w:r>
          </w:p>
        </w:tc>
      </w:tr>
      <w:tr>
        <w:tblPrEx>
          <w:tblLayout w:type="fixed"/>
          <w:tblCellMar>
            <w:top w:w="0" w:type="dxa"/>
            <w:left w:w="0" w:type="dxa"/>
            <w:bottom w:w="0" w:type="dxa"/>
            <w:right w:w="0" w:type="dxa"/>
          </w:tblCellMar>
        </w:tblPrEx>
        <w:trPr>
          <w:trHeight w:val="3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16</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长轴公司</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5200</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17700</w:t>
            </w:r>
          </w:p>
        </w:tc>
      </w:tr>
      <w:tr>
        <w:tblPrEx>
          <w:tblLayout w:type="fixed"/>
          <w:tblCellMar>
            <w:top w:w="0" w:type="dxa"/>
            <w:left w:w="0" w:type="dxa"/>
            <w:bottom w:w="0" w:type="dxa"/>
            <w:right w:w="0" w:type="dxa"/>
          </w:tblCellMar>
        </w:tblPrEx>
        <w:trPr>
          <w:trHeight w:val="3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17</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红岩方大</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930</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9000</w:t>
            </w:r>
          </w:p>
        </w:tc>
      </w:tr>
      <w:tr>
        <w:tblPrEx>
          <w:tblLayout w:type="fixed"/>
          <w:tblCellMar>
            <w:top w:w="0" w:type="dxa"/>
            <w:left w:w="0" w:type="dxa"/>
            <w:bottom w:w="0" w:type="dxa"/>
            <w:right w:w="0" w:type="dxa"/>
          </w:tblCellMar>
        </w:tblPrEx>
        <w:trPr>
          <w:trHeight w:val="3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18</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机电集团</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200</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r>
      <w:tr>
        <w:tblPrEx>
          <w:tblLayout w:type="fixed"/>
          <w:tblCellMar>
            <w:top w:w="0" w:type="dxa"/>
            <w:left w:w="0" w:type="dxa"/>
            <w:bottom w:w="0" w:type="dxa"/>
            <w:right w:w="0" w:type="dxa"/>
          </w:tblCellMar>
        </w:tblPrEx>
        <w:trPr>
          <w:trHeight w:val="3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19</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盟讯公司</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800</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20"/>
                <w:szCs w:val="20"/>
              </w:rPr>
            </w:pPr>
          </w:p>
        </w:tc>
      </w:tr>
      <w:tr>
        <w:tblPrEx>
          <w:tblLayout w:type="fixed"/>
          <w:tblCellMar>
            <w:top w:w="0" w:type="dxa"/>
            <w:left w:w="0" w:type="dxa"/>
            <w:bottom w:w="0" w:type="dxa"/>
            <w:right w:w="0" w:type="dxa"/>
          </w:tblCellMar>
        </w:tblPrEx>
        <w:trPr>
          <w:trHeight w:val="3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
                <w:color w:val="auto"/>
                <w:sz w:val="20"/>
                <w:szCs w:val="20"/>
              </w:rPr>
            </w:pPr>
            <w:r>
              <w:rPr>
                <w:rFonts w:hint="eastAsia" w:ascii="宋体" w:hAnsi="宋体" w:cs="宋体"/>
                <w:bCs/>
                <w:color w:val="auto"/>
                <w:sz w:val="20"/>
                <w:szCs w:val="20"/>
              </w:rPr>
              <w:t>20</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预计用量需求</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auto"/>
                <w:sz w:val="20"/>
                <w:szCs w:val="20"/>
              </w:rPr>
            </w:pPr>
            <w:r>
              <w:rPr>
                <w:rFonts w:hint="eastAsia" w:ascii="宋体" w:hAnsi="宋体" w:cs="宋体"/>
                <w:b/>
                <w:color w:val="auto"/>
                <w:kern w:val="0"/>
                <w:sz w:val="20"/>
                <w:szCs w:val="20"/>
                <w:lang w:bidi="ar"/>
              </w:rPr>
              <w:t xml:space="preserve">29031 </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
                <w:color w:val="auto"/>
                <w:sz w:val="20"/>
                <w:szCs w:val="20"/>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
                <w:color w:val="auto"/>
                <w:sz w:val="20"/>
                <w:szCs w:val="20"/>
              </w:rPr>
            </w:pPr>
          </w:p>
        </w:tc>
      </w:tr>
    </w:tbl>
    <w:p>
      <w:pPr>
        <w:spacing w:line="540" w:lineRule="exact"/>
        <w:ind w:right="-176" w:rightChars="-84"/>
        <w:rPr>
          <w:rFonts w:ascii="楷体" w:hAnsi="楷体" w:eastAsia="楷体"/>
          <w:color w:val="auto"/>
          <w:sz w:val="28"/>
          <w:szCs w:val="28"/>
        </w:rPr>
      </w:pPr>
    </w:p>
    <w:p>
      <w:pPr>
        <w:spacing w:line="540" w:lineRule="exact"/>
        <w:ind w:right="-176" w:rightChars="-84"/>
        <w:jc w:val="center"/>
        <w:rPr>
          <w:rFonts w:ascii="黑体" w:hAnsi="黑体" w:eastAsia="黑体"/>
          <w:b/>
          <w:bCs/>
          <w:color w:val="auto"/>
          <w:sz w:val="28"/>
          <w:szCs w:val="28"/>
        </w:rPr>
      </w:pPr>
      <w:r>
        <w:rPr>
          <w:rFonts w:hint="eastAsia" w:ascii="黑体" w:hAnsi="黑体" w:eastAsia="黑体"/>
          <w:b/>
          <w:color w:val="auto"/>
          <w:sz w:val="36"/>
          <w:szCs w:val="36"/>
        </w:rPr>
        <w:t>第二部分：评标办法（综合评估法）</w:t>
      </w:r>
    </w:p>
    <w:p>
      <w:pPr>
        <w:spacing w:line="540" w:lineRule="exact"/>
        <w:ind w:right="-176" w:rightChars="-84"/>
        <w:rPr>
          <w:rFonts w:ascii="楷体" w:hAnsi="楷体" w:eastAsia="楷体"/>
          <w:bCs/>
          <w:color w:val="auto"/>
          <w:sz w:val="28"/>
          <w:szCs w:val="28"/>
        </w:rPr>
      </w:pPr>
      <w:r>
        <w:rPr>
          <w:rFonts w:hint="eastAsia" w:ascii="楷体" w:hAnsi="楷体" w:eastAsia="楷体"/>
          <w:bCs/>
          <w:color w:val="auto"/>
          <w:sz w:val="28"/>
          <w:szCs w:val="28"/>
        </w:rPr>
        <w:t>评标办法前附表</w:t>
      </w:r>
    </w:p>
    <w:tbl>
      <w:tblPr>
        <w:tblStyle w:val="8"/>
        <w:tblW w:w="8237" w:type="dxa"/>
        <w:tblInd w:w="93" w:type="dxa"/>
        <w:tblLayout w:type="fixed"/>
        <w:tblCellMar>
          <w:top w:w="0" w:type="dxa"/>
          <w:left w:w="108" w:type="dxa"/>
          <w:bottom w:w="0" w:type="dxa"/>
          <w:right w:w="108" w:type="dxa"/>
        </w:tblCellMar>
      </w:tblPr>
      <w:tblGrid>
        <w:gridCol w:w="2425"/>
        <w:gridCol w:w="5812"/>
      </w:tblGrid>
      <w:tr>
        <w:tblPrEx>
          <w:tblLayout w:type="fixed"/>
          <w:tblCellMar>
            <w:top w:w="0" w:type="dxa"/>
            <w:left w:w="108" w:type="dxa"/>
            <w:bottom w:w="0" w:type="dxa"/>
            <w:right w:w="108" w:type="dxa"/>
          </w:tblCellMar>
        </w:tblPrEx>
        <w:trPr>
          <w:trHeight w:val="390" w:hRule="atLeast"/>
        </w:trPr>
        <w:tc>
          <w:tcPr>
            <w:tcW w:w="24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cs="宋体"/>
                <w:b/>
                <w:bCs/>
                <w:color w:val="auto"/>
                <w:sz w:val="20"/>
                <w:szCs w:val="20"/>
                <w:highlight w:val="none"/>
              </w:rPr>
            </w:pPr>
            <w:r>
              <w:rPr>
                <w:rFonts w:hint="eastAsia" w:ascii="黑体" w:hAnsi="黑体" w:eastAsia="黑体"/>
                <w:b/>
                <w:bCs/>
                <w:color w:val="auto"/>
                <w:sz w:val="20"/>
                <w:szCs w:val="20"/>
                <w:highlight w:val="none"/>
              </w:rPr>
              <w:t>条款内容</w:t>
            </w:r>
          </w:p>
        </w:tc>
        <w:tc>
          <w:tcPr>
            <w:tcW w:w="5812" w:type="dxa"/>
            <w:tcBorders>
              <w:top w:val="single" w:color="auto" w:sz="4" w:space="0"/>
              <w:left w:val="nil"/>
              <w:bottom w:val="single" w:color="auto" w:sz="4" w:space="0"/>
              <w:right w:val="single" w:color="auto" w:sz="4" w:space="0"/>
            </w:tcBorders>
            <w:shd w:val="clear" w:color="auto" w:fill="auto"/>
            <w:vAlign w:val="center"/>
          </w:tcPr>
          <w:p>
            <w:pPr>
              <w:jc w:val="center"/>
              <w:rPr>
                <w:rFonts w:ascii="黑体" w:hAnsi="黑体" w:eastAsia="黑体" w:cs="宋体"/>
                <w:b/>
                <w:bCs/>
                <w:color w:val="auto"/>
                <w:sz w:val="20"/>
                <w:szCs w:val="20"/>
                <w:highlight w:val="none"/>
              </w:rPr>
            </w:pPr>
            <w:r>
              <w:rPr>
                <w:rFonts w:hint="eastAsia" w:ascii="黑体" w:hAnsi="黑体" w:eastAsia="黑体"/>
                <w:b/>
                <w:bCs/>
                <w:color w:val="auto"/>
                <w:sz w:val="20"/>
                <w:szCs w:val="20"/>
                <w:highlight w:val="none"/>
              </w:rPr>
              <w:t>编列内容</w:t>
            </w:r>
          </w:p>
        </w:tc>
      </w:tr>
      <w:tr>
        <w:tblPrEx>
          <w:tblLayout w:type="fixed"/>
          <w:tblCellMar>
            <w:top w:w="0" w:type="dxa"/>
            <w:left w:w="108" w:type="dxa"/>
            <w:bottom w:w="0" w:type="dxa"/>
            <w:right w:w="108" w:type="dxa"/>
          </w:tblCellMar>
        </w:tblPrEx>
        <w:trPr>
          <w:trHeight w:val="630" w:hRule="atLeast"/>
        </w:trPr>
        <w:tc>
          <w:tcPr>
            <w:tcW w:w="2425"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color w:val="auto"/>
                <w:sz w:val="20"/>
                <w:szCs w:val="20"/>
                <w:highlight w:val="none"/>
              </w:rPr>
              <w:t>投标报价得分               （60分）</w:t>
            </w:r>
          </w:p>
        </w:tc>
        <w:tc>
          <w:tcPr>
            <w:tcW w:w="5812" w:type="dxa"/>
            <w:tcBorders>
              <w:top w:val="nil"/>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auto"/>
                <w:sz w:val="20"/>
                <w:szCs w:val="20"/>
                <w:highlight w:val="none"/>
              </w:rPr>
            </w:pPr>
            <w:r>
              <w:rPr>
                <w:rFonts w:hint="eastAsia" w:asciiTheme="minorEastAsia" w:hAnsiTheme="minorEastAsia" w:eastAsiaTheme="minorEastAsia"/>
                <w:color w:val="auto"/>
                <w:sz w:val="20"/>
                <w:szCs w:val="20"/>
                <w:highlight w:val="none"/>
              </w:rPr>
              <w:t>投标报价得分：</w:t>
            </w:r>
            <w:r>
              <w:rPr>
                <w:rFonts w:hint="eastAsia" w:cs="宋体" w:asciiTheme="minorEastAsia" w:hAnsiTheme="minorEastAsia" w:eastAsiaTheme="minorEastAsia"/>
                <w:color w:val="auto"/>
                <w:sz w:val="22"/>
                <w:szCs w:val="22"/>
              </w:rPr>
              <w:t>最终落地分时段平段电度电价</w:t>
            </w:r>
            <w:r>
              <w:rPr>
                <w:rFonts w:hint="eastAsia" w:asciiTheme="minorEastAsia" w:hAnsiTheme="minorEastAsia" w:eastAsiaTheme="minorEastAsia"/>
                <w:color w:val="auto"/>
                <w:sz w:val="20"/>
                <w:szCs w:val="20"/>
                <w:highlight w:val="none"/>
              </w:rPr>
              <w:t>最低投标报价得60分。每高于最低投标报价0.1厘扣3分,报价的最低得分为22分</w:t>
            </w:r>
          </w:p>
        </w:tc>
      </w:tr>
      <w:tr>
        <w:tblPrEx>
          <w:tblLayout w:type="fixed"/>
          <w:tblCellMar>
            <w:top w:w="0" w:type="dxa"/>
            <w:left w:w="108" w:type="dxa"/>
            <w:bottom w:w="0" w:type="dxa"/>
            <w:right w:w="108" w:type="dxa"/>
          </w:tblCellMar>
        </w:tblPrEx>
        <w:trPr>
          <w:trHeight w:val="630" w:hRule="atLeast"/>
        </w:trPr>
        <w:tc>
          <w:tcPr>
            <w:tcW w:w="2425"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color w:val="auto"/>
                <w:sz w:val="20"/>
                <w:szCs w:val="20"/>
                <w:highlight w:val="none"/>
              </w:rPr>
              <w:t>商务得分            （40分）</w:t>
            </w:r>
          </w:p>
        </w:tc>
        <w:tc>
          <w:tcPr>
            <w:tcW w:w="5812" w:type="dxa"/>
            <w:tcBorders>
              <w:top w:val="nil"/>
              <w:left w:val="nil"/>
              <w:bottom w:val="single" w:color="auto" w:sz="4" w:space="0"/>
              <w:right w:val="single" w:color="auto" w:sz="4" w:space="0"/>
            </w:tcBorders>
            <w:shd w:val="clear" w:color="auto" w:fill="auto"/>
            <w:vAlign w:val="center"/>
          </w:tcPr>
          <w:p>
            <w:pPr>
              <w:rPr>
                <w:rFonts w:ascii="宋体" w:hAnsi="宋体" w:cs="宋体"/>
                <w:color w:val="auto"/>
                <w:sz w:val="20"/>
                <w:szCs w:val="20"/>
                <w:highlight w:val="none"/>
              </w:rPr>
            </w:pPr>
            <w:r>
              <w:rPr>
                <w:rFonts w:hint="eastAsia"/>
                <w:color w:val="auto"/>
                <w:sz w:val="20"/>
                <w:szCs w:val="20"/>
                <w:highlight w:val="none"/>
              </w:rPr>
              <w:t>安全供电及服务保障能力承诺文件（10分）、以往合作情况（10分）、增值服务能力及成功案例展示（20分）</w:t>
            </w:r>
          </w:p>
        </w:tc>
      </w:tr>
      <w:tr>
        <w:tblPrEx>
          <w:tblLayout w:type="fixed"/>
          <w:tblCellMar>
            <w:top w:w="0" w:type="dxa"/>
            <w:left w:w="108" w:type="dxa"/>
            <w:bottom w:w="0" w:type="dxa"/>
            <w:right w:w="108" w:type="dxa"/>
          </w:tblCellMar>
        </w:tblPrEx>
        <w:trPr>
          <w:trHeight w:val="630" w:hRule="atLeast"/>
        </w:trPr>
        <w:tc>
          <w:tcPr>
            <w:tcW w:w="2425"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color w:val="auto"/>
                <w:sz w:val="20"/>
                <w:szCs w:val="20"/>
                <w:highlight w:val="none"/>
              </w:rPr>
              <w:t>总得分             （100分）</w:t>
            </w:r>
          </w:p>
        </w:tc>
        <w:tc>
          <w:tcPr>
            <w:tcW w:w="5812" w:type="dxa"/>
            <w:tcBorders>
              <w:top w:val="nil"/>
              <w:left w:val="nil"/>
              <w:bottom w:val="single" w:color="auto" w:sz="4" w:space="0"/>
              <w:right w:val="single" w:color="auto" w:sz="4" w:space="0"/>
            </w:tcBorders>
            <w:shd w:val="clear" w:color="auto" w:fill="auto"/>
            <w:vAlign w:val="center"/>
          </w:tcPr>
          <w:p>
            <w:pPr>
              <w:rPr>
                <w:rFonts w:ascii="宋体" w:hAnsi="宋体" w:cs="宋体"/>
                <w:color w:val="auto"/>
                <w:sz w:val="20"/>
                <w:szCs w:val="20"/>
                <w:highlight w:val="none"/>
              </w:rPr>
            </w:pPr>
            <w:r>
              <w:rPr>
                <w:rFonts w:hint="eastAsia"/>
                <w:color w:val="auto"/>
                <w:sz w:val="20"/>
                <w:szCs w:val="20"/>
                <w:highlight w:val="none"/>
              </w:rPr>
              <w:t>总得分（100分）=投标报价得分（60分）+商务得分（40分）</w:t>
            </w:r>
          </w:p>
        </w:tc>
      </w:tr>
    </w:tbl>
    <w:p>
      <w:pPr>
        <w:spacing w:line="560" w:lineRule="exact"/>
        <w:ind w:firstLine="562" w:firstLineChars="200"/>
        <w:rPr>
          <w:rFonts w:ascii="楷体" w:hAnsi="楷体" w:eastAsia="楷体"/>
          <w:b/>
          <w:color w:val="auto"/>
          <w:sz w:val="28"/>
          <w:szCs w:val="28"/>
        </w:rPr>
      </w:pPr>
      <w:r>
        <w:rPr>
          <w:rFonts w:hint="eastAsia" w:ascii="楷体" w:hAnsi="楷体" w:eastAsia="楷体"/>
          <w:b/>
          <w:bCs/>
          <w:color w:val="auto"/>
          <w:sz w:val="28"/>
          <w:szCs w:val="28"/>
        </w:rPr>
        <w:t>一、</w:t>
      </w:r>
      <w:r>
        <w:rPr>
          <w:rFonts w:hint="eastAsia" w:ascii="楷体" w:hAnsi="楷体" w:eastAsia="楷体"/>
          <w:b/>
          <w:color w:val="auto"/>
          <w:sz w:val="28"/>
          <w:szCs w:val="28"/>
        </w:rPr>
        <w:t>评标原则：</w:t>
      </w:r>
    </w:p>
    <w:p>
      <w:pPr>
        <w:spacing w:line="560" w:lineRule="exact"/>
        <w:ind w:left="570"/>
        <w:rPr>
          <w:rFonts w:ascii="楷体" w:hAnsi="楷体" w:eastAsia="楷体"/>
          <w:color w:val="auto"/>
          <w:sz w:val="28"/>
          <w:szCs w:val="28"/>
        </w:rPr>
      </w:pPr>
      <w:r>
        <w:rPr>
          <w:rFonts w:hint="eastAsia" w:ascii="楷体" w:hAnsi="楷体" w:eastAsia="楷体"/>
          <w:color w:val="auto"/>
          <w:sz w:val="28"/>
          <w:szCs w:val="28"/>
        </w:rPr>
        <w:t>1.1招标人根据招标项目特点依法组建评标委员会，与投标人有</w:t>
      </w:r>
    </w:p>
    <w:p>
      <w:pPr>
        <w:spacing w:line="560" w:lineRule="exact"/>
        <w:rPr>
          <w:rFonts w:ascii="楷体" w:hAnsi="楷体" w:eastAsia="楷体"/>
          <w:color w:val="auto"/>
          <w:sz w:val="28"/>
          <w:szCs w:val="28"/>
        </w:rPr>
      </w:pPr>
      <w:r>
        <w:rPr>
          <w:rFonts w:hint="eastAsia" w:ascii="楷体" w:hAnsi="楷体" w:eastAsia="楷体"/>
          <w:color w:val="auto"/>
          <w:sz w:val="28"/>
          <w:szCs w:val="28"/>
        </w:rPr>
        <w:t>关联的人员不得进入相关项目的评标委员会。</w:t>
      </w:r>
    </w:p>
    <w:p>
      <w:pPr>
        <w:spacing w:line="560" w:lineRule="exact"/>
        <w:ind w:firstLine="570"/>
        <w:rPr>
          <w:rFonts w:ascii="楷体" w:hAnsi="楷体" w:eastAsia="楷体"/>
          <w:color w:val="auto"/>
          <w:sz w:val="28"/>
          <w:szCs w:val="28"/>
        </w:rPr>
      </w:pPr>
      <w:r>
        <w:rPr>
          <w:rFonts w:hint="eastAsia" w:ascii="楷体" w:hAnsi="楷体" w:eastAsia="楷体"/>
          <w:color w:val="auto"/>
          <w:sz w:val="28"/>
          <w:szCs w:val="28"/>
        </w:rPr>
        <w:t>1.2我司保证评标在严格保密的情况下进行，并遵循公开、公平、公正和诚实信用的原则。</w:t>
      </w:r>
    </w:p>
    <w:p>
      <w:pPr>
        <w:spacing w:line="560" w:lineRule="exact"/>
        <w:ind w:firstLine="570"/>
        <w:rPr>
          <w:rFonts w:ascii="楷体" w:hAnsi="楷体" w:eastAsia="楷体"/>
          <w:color w:val="auto"/>
          <w:sz w:val="28"/>
          <w:szCs w:val="28"/>
        </w:rPr>
      </w:pPr>
      <w:r>
        <w:rPr>
          <w:rFonts w:hint="eastAsia" w:ascii="楷体" w:hAnsi="楷体" w:eastAsia="楷体"/>
          <w:color w:val="auto"/>
          <w:sz w:val="28"/>
          <w:szCs w:val="28"/>
        </w:rPr>
        <w:t>1.3评标委员会可以要求投标人对投标文件中含义不明确的内容在开、评标时作必要的澄清或者说明，但澄清或者说明不得超出投标文件的范围或者改变投标文件的实质性内容。</w:t>
      </w:r>
    </w:p>
    <w:p>
      <w:pPr>
        <w:spacing w:line="560" w:lineRule="exact"/>
        <w:ind w:firstLine="570"/>
        <w:rPr>
          <w:rFonts w:ascii="楷体" w:hAnsi="楷体" w:eastAsia="楷体"/>
          <w:color w:val="auto"/>
          <w:sz w:val="28"/>
          <w:szCs w:val="28"/>
        </w:rPr>
      </w:pPr>
      <w:r>
        <w:rPr>
          <w:rFonts w:hint="eastAsia" w:ascii="楷体" w:hAnsi="楷体" w:eastAsia="楷体"/>
          <w:color w:val="auto"/>
          <w:sz w:val="28"/>
          <w:szCs w:val="28"/>
        </w:rPr>
        <w:t>1.4评标委员会严格按照招标文件的要求和条件进行评标。</w:t>
      </w:r>
    </w:p>
    <w:p>
      <w:pPr>
        <w:spacing w:line="560" w:lineRule="exact"/>
        <w:ind w:firstLine="570"/>
        <w:rPr>
          <w:rFonts w:ascii="楷体" w:hAnsi="楷体" w:eastAsia="楷体"/>
          <w:color w:val="auto"/>
          <w:sz w:val="28"/>
          <w:szCs w:val="28"/>
        </w:rPr>
      </w:pPr>
      <w:r>
        <w:rPr>
          <w:rFonts w:hint="eastAsia" w:ascii="楷体" w:hAnsi="楷体" w:eastAsia="楷体"/>
          <w:color w:val="auto"/>
          <w:sz w:val="28"/>
          <w:szCs w:val="28"/>
        </w:rPr>
        <w:t>1.5在确定中标人前，招标人不得与投标人就价格、投标方案等实质性内容进行谈判。</w:t>
      </w:r>
    </w:p>
    <w:p>
      <w:pPr>
        <w:spacing w:line="540" w:lineRule="exact"/>
        <w:ind w:right="-176" w:rightChars="-84" w:firstLine="551" w:firstLineChars="196"/>
        <w:rPr>
          <w:rFonts w:ascii="楷体" w:hAnsi="楷体" w:eastAsia="楷体"/>
          <w:b/>
          <w:bCs/>
          <w:color w:val="auto"/>
          <w:sz w:val="28"/>
          <w:szCs w:val="28"/>
        </w:rPr>
      </w:pPr>
      <w:r>
        <w:rPr>
          <w:rFonts w:hint="eastAsia" w:ascii="楷体" w:hAnsi="楷体" w:eastAsia="楷体"/>
          <w:b/>
          <w:bCs/>
          <w:color w:val="auto"/>
          <w:sz w:val="28"/>
          <w:szCs w:val="28"/>
        </w:rPr>
        <w:t>二、评标方法</w:t>
      </w:r>
    </w:p>
    <w:p>
      <w:pPr>
        <w:spacing w:line="54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2.1本项目采用综合评估法：按总分由高至低排序，具体计算公式见《评标办法前附表》。</w:t>
      </w:r>
    </w:p>
    <w:p>
      <w:pPr>
        <w:spacing w:line="54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2.2招标人对投标文件的判定，仅依据投标文件内容本身，不依据开标后的任何外来证明。</w:t>
      </w:r>
    </w:p>
    <w:p>
      <w:pPr>
        <w:spacing w:line="540" w:lineRule="exact"/>
        <w:ind w:right="-176" w:rightChars="-84" w:firstLine="562" w:firstLineChars="200"/>
        <w:rPr>
          <w:rFonts w:ascii="楷体" w:hAnsi="楷体" w:eastAsia="楷体"/>
          <w:b/>
          <w:bCs/>
          <w:color w:val="auto"/>
          <w:sz w:val="28"/>
          <w:szCs w:val="28"/>
        </w:rPr>
      </w:pPr>
      <w:r>
        <w:rPr>
          <w:rFonts w:hint="eastAsia" w:ascii="楷体" w:hAnsi="楷体" w:eastAsia="楷体"/>
          <w:b/>
          <w:bCs/>
          <w:color w:val="auto"/>
          <w:sz w:val="28"/>
          <w:szCs w:val="28"/>
        </w:rPr>
        <w:t>三、评审标准</w:t>
      </w:r>
    </w:p>
    <w:p>
      <w:pPr>
        <w:spacing w:line="54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投标文件及投标报价的评审，若出现下列情况之一，则投标文件作废标处理：</w:t>
      </w:r>
    </w:p>
    <w:p>
      <w:pPr>
        <w:spacing w:line="54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3.1投标文件未满足投标须知第20项的内容和填报要求的；</w:t>
      </w:r>
    </w:p>
    <w:p>
      <w:pPr>
        <w:spacing w:line="54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3.2投标人有符合投标须知第23项规定的；</w:t>
      </w:r>
    </w:p>
    <w:p>
      <w:pPr>
        <w:spacing w:line="540" w:lineRule="exact"/>
        <w:ind w:right="-176" w:rightChars="-84" w:firstLine="560" w:firstLineChars="200"/>
        <w:rPr>
          <w:rFonts w:ascii="楷体" w:hAnsi="楷体" w:eastAsia="楷体"/>
          <w:bCs/>
          <w:color w:val="auto"/>
          <w:sz w:val="28"/>
          <w:szCs w:val="28"/>
        </w:rPr>
      </w:pPr>
      <w:r>
        <w:rPr>
          <w:rFonts w:hint="eastAsia" w:ascii="楷体" w:hAnsi="楷体" w:eastAsia="楷体"/>
          <w:bCs/>
          <w:color w:val="auto"/>
          <w:sz w:val="28"/>
          <w:szCs w:val="28"/>
        </w:rPr>
        <w:t>3.3投标人的投标报价明显偏离市场价格，经评标委员会认定为恶意竞标的。</w:t>
      </w:r>
    </w:p>
    <w:p>
      <w:pPr>
        <w:spacing w:line="540" w:lineRule="exact"/>
        <w:ind w:right="-176" w:rightChars="-84" w:firstLine="562" w:firstLineChars="200"/>
        <w:rPr>
          <w:rFonts w:ascii="楷体" w:hAnsi="楷体" w:eastAsia="楷体"/>
          <w:b/>
          <w:bCs/>
          <w:color w:val="auto"/>
          <w:sz w:val="28"/>
          <w:szCs w:val="28"/>
        </w:rPr>
      </w:pPr>
      <w:r>
        <w:rPr>
          <w:rFonts w:hint="eastAsia" w:ascii="楷体" w:hAnsi="楷体" w:eastAsia="楷体"/>
          <w:b/>
          <w:bCs/>
          <w:color w:val="auto"/>
          <w:sz w:val="28"/>
          <w:szCs w:val="28"/>
        </w:rPr>
        <w:t>四、中标结果发布</w:t>
      </w:r>
    </w:p>
    <w:p>
      <w:pPr>
        <w:spacing w:line="540" w:lineRule="exact"/>
        <w:ind w:firstLine="560" w:firstLineChars="200"/>
        <w:rPr>
          <w:rFonts w:ascii="楷体" w:hAnsi="楷体" w:eastAsia="楷体"/>
          <w:color w:val="auto"/>
          <w:sz w:val="28"/>
          <w:szCs w:val="28"/>
        </w:rPr>
      </w:pPr>
      <w:r>
        <w:rPr>
          <w:rFonts w:ascii="楷体" w:hAnsi="楷体" w:eastAsia="楷体"/>
          <w:color w:val="auto"/>
          <w:sz w:val="28"/>
          <w:szCs w:val="28"/>
        </w:rPr>
        <w:t>4.1</w:t>
      </w:r>
      <w:r>
        <w:rPr>
          <w:rFonts w:hint="eastAsia" w:ascii="楷体" w:hAnsi="楷体" w:eastAsia="楷体"/>
          <w:color w:val="auto"/>
          <w:sz w:val="28"/>
          <w:szCs w:val="28"/>
        </w:rPr>
        <w:t>中标人在履约过程中执行由</w:t>
      </w:r>
      <w:r>
        <w:rPr>
          <w:rFonts w:hint="eastAsia" w:ascii="楷体" w:hAnsi="楷体" w:eastAsia="楷体"/>
          <w:bCs/>
          <w:color w:val="auto"/>
          <w:sz w:val="28"/>
          <w:szCs w:val="28"/>
        </w:rPr>
        <w:t>招标人</w:t>
      </w:r>
      <w:r>
        <w:rPr>
          <w:rFonts w:hint="eastAsia" w:ascii="楷体" w:hAnsi="楷体" w:eastAsia="楷体"/>
          <w:color w:val="auto"/>
          <w:sz w:val="28"/>
          <w:szCs w:val="28"/>
        </w:rPr>
        <w:t>统一发布的执行价。</w:t>
      </w:r>
    </w:p>
    <w:p>
      <w:pPr>
        <w:spacing w:line="560" w:lineRule="exact"/>
        <w:ind w:firstLine="570"/>
        <w:rPr>
          <w:rFonts w:ascii="楷体" w:hAnsi="楷体" w:eastAsia="楷体"/>
          <w:color w:val="auto"/>
          <w:sz w:val="28"/>
          <w:szCs w:val="28"/>
        </w:rPr>
      </w:pPr>
      <w:r>
        <w:rPr>
          <w:rFonts w:ascii="楷体" w:hAnsi="楷体" w:eastAsia="楷体"/>
          <w:color w:val="auto"/>
          <w:sz w:val="28"/>
          <w:szCs w:val="28"/>
        </w:rPr>
        <w:t>4.2</w:t>
      </w:r>
      <w:r>
        <w:rPr>
          <w:rFonts w:hint="eastAsia" w:ascii="楷体" w:hAnsi="楷体" w:eastAsia="楷体"/>
          <w:color w:val="auto"/>
          <w:sz w:val="28"/>
          <w:szCs w:val="28"/>
        </w:rPr>
        <w:t>中标人确定后，由</w:t>
      </w:r>
      <w:r>
        <w:rPr>
          <w:rFonts w:hint="eastAsia" w:ascii="楷体" w:hAnsi="楷体" w:eastAsia="楷体"/>
          <w:bCs/>
          <w:color w:val="auto"/>
          <w:sz w:val="28"/>
          <w:szCs w:val="28"/>
        </w:rPr>
        <w:t>招标人</w:t>
      </w:r>
      <w:r>
        <w:rPr>
          <w:rFonts w:hint="eastAsia" w:ascii="楷体" w:hAnsi="楷体" w:eastAsia="楷体"/>
          <w:color w:val="auto"/>
          <w:sz w:val="28"/>
          <w:szCs w:val="28"/>
        </w:rPr>
        <w:t>向中标人发出书面中标通知书，并同时将招标结果通知所有未中标的投标人。</w:t>
      </w:r>
    </w:p>
    <w:p>
      <w:pPr>
        <w:spacing w:line="560" w:lineRule="exact"/>
        <w:ind w:firstLine="570"/>
        <w:rPr>
          <w:rFonts w:ascii="楷体" w:hAnsi="楷体" w:eastAsia="楷体"/>
          <w:color w:val="auto"/>
          <w:sz w:val="28"/>
          <w:szCs w:val="28"/>
        </w:rPr>
      </w:pPr>
      <w:r>
        <w:rPr>
          <w:rFonts w:ascii="楷体" w:hAnsi="楷体" w:eastAsia="楷体"/>
          <w:color w:val="auto"/>
          <w:sz w:val="28"/>
          <w:szCs w:val="28"/>
        </w:rPr>
        <w:t>4.3</w:t>
      </w:r>
      <w:r>
        <w:rPr>
          <w:rFonts w:hint="eastAsia" w:ascii="楷体" w:hAnsi="楷体" w:eastAsia="楷体"/>
          <w:bCs/>
          <w:color w:val="auto"/>
          <w:sz w:val="28"/>
          <w:szCs w:val="28"/>
        </w:rPr>
        <w:t>招标人</w:t>
      </w:r>
      <w:r>
        <w:rPr>
          <w:rFonts w:hint="eastAsia" w:ascii="楷体" w:hAnsi="楷体" w:eastAsia="楷体"/>
          <w:color w:val="auto"/>
          <w:sz w:val="28"/>
          <w:szCs w:val="28"/>
        </w:rPr>
        <w:t>负责向重庆机电集团有关单位通报招标结果。</w:t>
      </w:r>
    </w:p>
    <w:p>
      <w:pPr>
        <w:spacing w:line="560" w:lineRule="exact"/>
        <w:ind w:firstLine="570"/>
        <w:rPr>
          <w:rFonts w:ascii="楷体" w:hAnsi="楷体" w:eastAsia="楷体"/>
          <w:color w:val="auto"/>
          <w:sz w:val="28"/>
          <w:szCs w:val="28"/>
        </w:rPr>
      </w:pPr>
      <w:r>
        <w:rPr>
          <w:rFonts w:ascii="楷体" w:hAnsi="楷体" w:eastAsia="楷体"/>
          <w:color w:val="auto"/>
          <w:sz w:val="28"/>
          <w:szCs w:val="28"/>
        </w:rPr>
        <w:t>4.4</w:t>
      </w:r>
      <w:r>
        <w:rPr>
          <w:rFonts w:hint="eastAsia" w:ascii="楷体" w:hAnsi="楷体" w:eastAsia="楷体"/>
          <w:color w:val="auto"/>
          <w:sz w:val="28"/>
          <w:szCs w:val="28"/>
        </w:rPr>
        <w:t>中标通知书发出后，中标人放弃中标项目的，招标人依法保留向违约方追究法律责任的权力。</w:t>
      </w:r>
    </w:p>
    <w:p>
      <w:pPr>
        <w:spacing w:line="560" w:lineRule="exact"/>
        <w:ind w:firstLine="570"/>
        <w:rPr>
          <w:rFonts w:ascii="楷体" w:hAnsi="楷体" w:eastAsia="楷体"/>
          <w:b/>
          <w:color w:val="auto"/>
          <w:sz w:val="28"/>
          <w:szCs w:val="28"/>
        </w:rPr>
      </w:pPr>
      <w:r>
        <w:rPr>
          <w:rFonts w:hint="eastAsia" w:ascii="楷体" w:hAnsi="楷体" w:eastAsia="楷体"/>
          <w:b/>
          <w:color w:val="auto"/>
          <w:sz w:val="28"/>
          <w:szCs w:val="28"/>
        </w:rPr>
        <w:t>五、执行要求</w:t>
      </w:r>
    </w:p>
    <w:p>
      <w:pPr>
        <w:spacing w:line="560" w:lineRule="exact"/>
        <w:ind w:firstLine="570"/>
        <w:rPr>
          <w:rFonts w:ascii="楷体" w:hAnsi="楷体" w:eastAsia="楷体"/>
          <w:color w:val="auto"/>
          <w:sz w:val="28"/>
          <w:szCs w:val="28"/>
        </w:rPr>
      </w:pPr>
      <w:r>
        <w:rPr>
          <w:rFonts w:hint="eastAsia" w:ascii="楷体" w:hAnsi="楷体" w:eastAsia="楷体"/>
          <w:color w:val="auto"/>
          <w:sz w:val="28"/>
          <w:szCs w:val="28"/>
        </w:rPr>
        <w:t>5.1由</w:t>
      </w:r>
      <w:r>
        <w:rPr>
          <w:rFonts w:hint="eastAsia" w:ascii="楷体" w:hAnsi="楷体" w:eastAsia="楷体"/>
          <w:bCs/>
          <w:color w:val="auto"/>
          <w:sz w:val="28"/>
          <w:szCs w:val="28"/>
        </w:rPr>
        <w:t>重庆机电集团</w:t>
      </w:r>
      <w:r>
        <w:rPr>
          <w:rFonts w:hint="eastAsia" w:ascii="楷体" w:hAnsi="楷体" w:eastAsia="楷体"/>
          <w:bCs/>
          <w:color w:val="auto"/>
          <w:sz w:val="28"/>
          <w:szCs w:val="28"/>
          <w:lang w:eastAsia="zh-CN"/>
        </w:rPr>
        <w:t>及</w:t>
      </w:r>
      <w:r>
        <w:rPr>
          <w:rFonts w:hint="eastAsia" w:ascii="楷体" w:hAnsi="楷体" w:eastAsia="楷体"/>
          <w:bCs/>
          <w:color w:val="auto"/>
          <w:sz w:val="28"/>
          <w:szCs w:val="28"/>
        </w:rPr>
        <w:t>所属企业</w:t>
      </w:r>
      <w:r>
        <w:rPr>
          <w:rFonts w:hint="eastAsia" w:ascii="楷体" w:hAnsi="楷体" w:eastAsia="楷体"/>
          <w:color w:val="auto"/>
          <w:sz w:val="28"/>
          <w:szCs w:val="28"/>
        </w:rPr>
        <w:t>与中标人签订书面供</w:t>
      </w:r>
      <w:r>
        <w:rPr>
          <w:rFonts w:hint="eastAsia" w:ascii="楷体" w:hAnsi="楷体" w:eastAsia="楷体"/>
          <w:color w:val="auto"/>
          <w:sz w:val="28"/>
          <w:szCs w:val="28"/>
          <w:lang w:eastAsia="zh-CN"/>
        </w:rPr>
        <w:t>电协议</w:t>
      </w:r>
      <w:r>
        <w:rPr>
          <w:rFonts w:hint="eastAsia" w:ascii="楷体" w:hAnsi="楷体" w:eastAsia="楷体"/>
          <w:color w:val="auto"/>
          <w:sz w:val="28"/>
          <w:szCs w:val="28"/>
        </w:rPr>
        <w:t>并执行。</w:t>
      </w:r>
    </w:p>
    <w:p>
      <w:pPr>
        <w:spacing w:line="560" w:lineRule="exact"/>
        <w:ind w:firstLine="560" w:firstLineChars="200"/>
        <w:rPr>
          <w:rFonts w:ascii="楷体" w:hAnsi="楷体" w:eastAsia="楷体"/>
          <w:color w:val="auto"/>
          <w:sz w:val="28"/>
          <w:szCs w:val="28"/>
        </w:rPr>
      </w:pPr>
      <w:r>
        <w:rPr>
          <w:rFonts w:hint="eastAsia" w:ascii="楷体" w:hAnsi="楷体" w:eastAsia="楷体"/>
          <w:color w:val="auto"/>
          <w:sz w:val="28"/>
          <w:szCs w:val="28"/>
        </w:rPr>
        <w:t>5.2</w:t>
      </w:r>
      <w:r>
        <w:rPr>
          <w:rFonts w:hint="eastAsia" w:ascii="楷体" w:hAnsi="楷体" w:eastAsia="楷体"/>
          <w:bCs/>
          <w:color w:val="auto"/>
          <w:sz w:val="28"/>
          <w:szCs w:val="28"/>
        </w:rPr>
        <w:t>招标人</w:t>
      </w:r>
      <w:r>
        <w:rPr>
          <w:rFonts w:hint="eastAsia" w:ascii="楷体" w:hAnsi="楷体" w:eastAsia="楷体"/>
          <w:color w:val="auto"/>
          <w:sz w:val="28"/>
          <w:szCs w:val="28"/>
        </w:rPr>
        <w:t>与标的需求企业共同负责对中标人进行业绩评价。对1次业绩评价不合格的中标人亮黄牌警告，要求限期整改；对连续2次业绩评价不合格的中标人亮红牌警告，要求限期整改，并处罚金；对连续3次业绩评价不合格的中标人取消当年供电合同。</w:t>
      </w:r>
    </w:p>
    <w:p>
      <w:pPr>
        <w:spacing w:line="560" w:lineRule="exact"/>
        <w:ind w:firstLine="570"/>
        <w:rPr>
          <w:rFonts w:ascii="华文楷体" w:hAnsi="华文楷体" w:eastAsia="华文楷体"/>
          <w:b/>
          <w:color w:val="auto"/>
          <w:sz w:val="28"/>
          <w:szCs w:val="28"/>
        </w:rPr>
      </w:pPr>
      <w:r>
        <w:rPr>
          <w:rFonts w:hint="eastAsia" w:ascii="华文楷体" w:hAnsi="华文楷体" w:eastAsia="华文楷体"/>
          <w:b/>
          <w:color w:val="auto"/>
          <w:sz w:val="28"/>
          <w:szCs w:val="28"/>
        </w:rPr>
        <w:t>六、监督检查</w:t>
      </w:r>
    </w:p>
    <w:p>
      <w:pPr>
        <w:spacing w:line="560" w:lineRule="exact"/>
        <w:ind w:firstLine="570"/>
        <w:rPr>
          <w:rFonts w:ascii="华文楷体" w:hAnsi="华文楷体" w:eastAsia="华文楷体"/>
          <w:b/>
          <w:color w:val="auto"/>
          <w:sz w:val="28"/>
          <w:szCs w:val="28"/>
        </w:rPr>
      </w:pPr>
      <w:r>
        <w:rPr>
          <w:rFonts w:hint="eastAsia" w:ascii="华文楷体" w:hAnsi="华文楷体" w:eastAsia="华文楷体"/>
          <w:color w:val="auto"/>
          <w:sz w:val="28"/>
          <w:szCs w:val="28"/>
        </w:rPr>
        <w:t>6.1为强化招投标活动公开、公平、公正及诚实信用原则，有效防范经营风险和道德风险，重庆机电集团特设置反舞弊举报电话：</w:t>
      </w:r>
      <w:r>
        <w:rPr>
          <w:rFonts w:hint="eastAsia" w:ascii="华文楷体" w:hAnsi="华文楷体" w:eastAsia="华文楷体"/>
          <w:b/>
          <w:color w:val="auto"/>
          <w:sz w:val="28"/>
          <w:szCs w:val="28"/>
        </w:rPr>
        <w:t>023-63075699。</w:t>
      </w:r>
    </w:p>
    <w:p>
      <w:pPr>
        <w:spacing w:line="560" w:lineRule="exact"/>
        <w:ind w:firstLine="570"/>
        <w:rPr>
          <w:rFonts w:ascii="华文楷体" w:hAnsi="华文楷体" w:eastAsia="华文楷体"/>
          <w:b/>
          <w:color w:val="auto"/>
          <w:sz w:val="28"/>
          <w:szCs w:val="28"/>
        </w:rPr>
      </w:pPr>
    </w:p>
    <w:p>
      <w:pPr>
        <w:spacing w:line="560" w:lineRule="exact"/>
        <w:ind w:firstLine="570"/>
        <w:rPr>
          <w:rFonts w:ascii="华文楷体" w:hAnsi="华文楷体" w:eastAsia="华文楷体"/>
          <w:b/>
          <w:color w:val="auto"/>
          <w:sz w:val="28"/>
          <w:szCs w:val="28"/>
        </w:rPr>
      </w:pPr>
    </w:p>
    <w:p>
      <w:pPr>
        <w:pStyle w:val="2"/>
        <w:spacing w:line="580" w:lineRule="exact"/>
        <w:jc w:val="center"/>
        <w:rPr>
          <w:rFonts w:ascii="黑体" w:hAnsi="宋体"/>
          <w:color w:val="auto"/>
          <w:sz w:val="36"/>
          <w:szCs w:val="36"/>
        </w:rPr>
      </w:pPr>
      <w:r>
        <w:rPr>
          <w:rFonts w:hint="eastAsia" w:ascii="黑体" w:hAnsi="宋体"/>
          <w:color w:val="auto"/>
          <w:sz w:val="36"/>
          <w:szCs w:val="36"/>
        </w:rPr>
        <w:t>第三部分：主要合同条款</w:t>
      </w:r>
    </w:p>
    <w:p>
      <w:pPr>
        <w:spacing w:before="312" w:beforeLines="100" w:line="500" w:lineRule="exact"/>
        <w:jc w:val="center"/>
        <w:rPr>
          <w:rFonts w:ascii="楷体" w:hAnsi="楷体" w:eastAsia="楷体"/>
          <w:b/>
          <w:color w:val="auto"/>
          <w:sz w:val="32"/>
          <w:szCs w:val="32"/>
        </w:rPr>
      </w:pPr>
      <w:r>
        <w:rPr>
          <w:rFonts w:hint="eastAsia" w:ascii="楷体" w:hAnsi="楷体" w:eastAsia="楷体"/>
          <w:b/>
          <w:color w:val="auto"/>
          <w:sz w:val="32"/>
          <w:szCs w:val="32"/>
        </w:rPr>
        <w:t>重庆市电力用户与发电企业电力直接交易协议书</w:t>
      </w:r>
    </w:p>
    <w:p>
      <w:pPr>
        <w:adjustRightInd w:val="0"/>
        <w:snapToGrid w:val="0"/>
        <w:spacing w:line="500" w:lineRule="exact"/>
        <w:jc w:val="center"/>
        <w:rPr>
          <w:rFonts w:ascii="楷体_GB2312" w:hAnsi="楷体" w:eastAsia="楷体_GB2312"/>
          <w:b/>
          <w:color w:val="FF0000"/>
          <w:sz w:val="28"/>
          <w:szCs w:val="28"/>
        </w:rPr>
      </w:pPr>
      <w:r>
        <w:rPr>
          <w:rFonts w:hint="eastAsia" w:ascii="楷体_GB2312" w:hAnsi="楷体" w:eastAsia="楷体_GB2312"/>
          <w:b/>
          <w:color w:val="FF0000"/>
        </w:rPr>
        <w:t>（参考格式，最终版本以电力公司合同范本为准）</w:t>
      </w:r>
    </w:p>
    <w:p>
      <w:pPr>
        <w:adjustRightInd w:val="0"/>
        <w:snapToGrid w:val="0"/>
        <w:spacing w:line="500" w:lineRule="exact"/>
        <w:rPr>
          <w:rFonts w:ascii="楷体" w:hAnsi="楷体" w:eastAsia="楷体"/>
          <w:color w:val="auto"/>
          <w:sz w:val="28"/>
          <w:szCs w:val="28"/>
        </w:rPr>
      </w:pPr>
      <w:r>
        <w:rPr>
          <w:rFonts w:hint="eastAsia" w:ascii="楷体" w:hAnsi="楷体" w:eastAsia="楷体"/>
          <w:color w:val="auto"/>
          <w:sz w:val="28"/>
          <w:szCs w:val="28"/>
        </w:rPr>
        <w:t>甲方（购电方：电力用户）</w:t>
      </w:r>
      <w:r>
        <w:rPr>
          <w:rFonts w:ascii="楷体" w:hAnsi="楷体" w:eastAsia="楷体"/>
          <w:color w:val="auto"/>
          <w:sz w:val="28"/>
          <w:szCs w:val="28"/>
          <w:u w:val="single"/>
        </w:rPr>
        <w:t xml:space="preserve">    </w:t>
      </w:r>
      <w:r>
        <w:rPr>
          <w:rFonts w:hint="eastAsia" w:ascii="楷体" w:hAnsi="楷体" w:eastAsia="楷体"/>
          <w:color w:val="auto"/>
          <w:sz w:val="28"/>
          <w:szCs w:val="28"/>
        </w:rPr>
        <w:t>系一家具有法人资格/经法人单位授权的用电企业，电力用户编码</w:t>
      </w:r>
      <w:r>
        <w:rPr>
          <w:rFonts w:hint="eastAsia" w:ascii="楷体" w:hAnsi="楷体" w:eastAsia="楷体"/>
          <w:color w:val="auto"/>
          <w:sz w:val="28"/>
          <w:szCs w:val="28"/>
          <w:u w:val="single"/>
        </w:rPr>
        <w:t xml:space="preserve">    </w:t>
      </w:r>
      <w:r>
        <w:rPr>
          <w:rFonts w:hint="eastAsia" w:ascii="楷体" w:hAnsi="楷体" w:eastAsia="楷体"/>
          <w:color w:val="auto"/>
          <w:sz w:val="28"/>
          <w:szCs w:val="28"/>
        </w:rPr>
        <w:t>，用电电压等级</w:t>
      </w:r>
      <w:r>
        <w:rPr>
          <w:rFonts w:ascii="楷体" w:hAnsi="楷体" w:eastAsia="楷体"/>
          <w:color w:val="auto"/>
          <w:sz w:val="28"/>
          <w:szCs w:val="28"/>
          <w:u w:val="single"/>
        </w:rPr>
        <w:t xml:space="preserve">    </w:t>
      </w:r>
      <w:r>
        <w:rPr>
          <w:rFonts w:hint="eastAsia" w:ascii="楷体" w:hAnsi="楷体" w:eastAsia="楷体"/>
          <w:color w:val="auto"/>
          <w:sz w:val="28"/>
          <w:szCs w:val="28"/>
        </w:rPr>
        <w:t>。企业所在地为</w:t>
      </w:r>
      <w:r>
        <w:rPr>
          <w:rFonts w:ascii="楷体" w:hAnsi="楷体" w:eastAsia="楷体"/>
          <w:color w:val="auto"/>
          <w:sz w:val="28"/>
          <w:szCs w:val="28"/>
          <w:u w:val="single"/>
        </w:rPr>
        <w:t xml:space="preserve">         </w:t>
      </w:r>
      <w:r>
        <w:rPr>
          <w:rFonts w:hint="eastAsia" w:ascii="楷体" w:hAnsi="楷体" w:eastAsia="楷体"/>
          <w:color w:val="auto"/>
          <w:sz w:val="28"/>
          <w:szCs w:val="28"/>
        </w:rPr>
        <w:t>，在</w:t>
      </w:r>
      <w:r>
        <w:rPr>
          <w:rFonts w:ascii="楷体" w:hAnsi="楷体" w:eastAsia="楷体"/>
          <w:color w:val="auto"/>
          <w:sz w:val="28"/>
          <w:szCs w:val="28"/>
          <w:u w:val="single"/>
        </w:rPr>
        <w:t xml:space="preserve">       </w:t>
      </w:r>
      <w:r>
        <w:rPr>
          <w:rFonts w:hint="eastAsia" w:ascii="楷体" w:hAnsi="楷体" w:eastAsia="楷体"/>
          <w:color w:val="auto"/>
          <w:sz w:val="28"/>
          <w:szCs w:val="28"/>
        </w:rPr>
        <w:t>登记注册，社会统一信用代码：</w:t>
      </w:r>
      <w:r>
        <w:rPr>
          <w:rFonts w:ascii="楷体" w:hAnsi="楷体" w:eastAsia="楷体"/>
          <w:color w:val="auto"/>
          <w:sz w:val="28"/>
          <w:szCs w:val="28"/>
          <w:u w:val="single"/>
        </w:rPr>
        <w:t xml:space="preserve">     </w:t>
      </w:r>
      <w:r>
        <w:rPr>
          <w:rFonts w:hint="eastAsia" w:ascii="楷体" w:hAnsi="楷体" w:eastAsia="楷体"/>
          <w:color w:val="auto"/>
          <w:sz w:val="28"/>
          <w:szCs w:val="28"/>
        </w:rPr>
        <w:t>，法定代表人/授权代理人：</w:t>
      </w:r>
      <w:r>
        <w:rPr>
          <w:rFonts w:ascii="楷体" w:hAnsi="楷体" w:eastAsia="楷体"/>
          <w:color w:val="auto"/>
          <w:sz w:val="28"/>
          <w:szCs w:val="28"/>
          <w:u w:val="single"/>
        </w:rPr>
        <w:t xml:space="preserve">  </w:t>
      </w:r>
      <w:r>
        <w:rPr>
          <w:rFonts w:hint="eastAsia" w:ascii="楷体" w:hAnsi="楷体" w:eastAsia="楷体"/>
          <w:color w:val="auto"/>
          <w:sz w:val="28"/>
          <w:szCs w:val="28"/>
        </w:rPr>
        <w:t>。</w:t>
      </w:r>
      <w:r>
        <w:rPr>
          <w:rFonts w:ascii="楷体" w:hAnsi="楷体" w:eastAsia="楷体"/>
          <w:color w:val="auto"/>
          <w:sz w:val="28"/>
          <w:szCs w:val="28"/>
        </w:rPr>
        <w:t xml:space="preserve"> </w:t>
      </w:r>
    </w:p>
    <w:p>
      <w:pPr>
        <w:adjustRightInd w:val="0"/>
        <w:snapToGrid w:val="0"/>
        <w:spacing w:line="500" w:lineRule="exact"/>
        <w:ind w:firstLine="560" w:firstLineChars="200"/>
        <w:rPr>
          <w:rFonts w:ascii="楷体" w:hAnsi="楷体" w:eastAsia="楷体"/>
          <w:color w:val="auto"/>
          <w:sz w:val="28"/>
          <w:szCs w:val="28"/>
        </w:rPr>
      </w:pPr>
      <w:r>
        <w:rPr>
          <w:rFonts w:hint="eastAsia" w:ascii="楷体" w:hAnsi="楷体" w:eastAsia="楷体"/>
          <w:color w:val="auto"/>
          <w:sz w:val="28"/>
          <w:szCs w:val="28"/>
        </w:rPr>
        <w:t>乙方（售电方：发电企业）：</w:t>
      </w:r>
      <w:r>
        <w:rPr>
          <w:rFonts w:ascii="楷体" w:hAnsi="楷体" w:eastAsia="楷体"/>
          <w:color w:val="auto"/>
          <w:sz w:val="28"/>
          <w:szCs w:val="28"/>
          <w:u w:val="single"/>
        </w:rPr>
        <w:t xml:space="preserve">     </w:t>
      </w:r>
      <w:r>
        <w:rPr>
          <w:rFonts w:hint="eastAsia" w:ascii="楷体" w:hAnsi="楷体" w:eastAsia="楷体"/>
          <w:color w:val="auto"/>
          <w:sz w:val="28"/>
          <w:szCs w:val="28"/>
        </w:rPr>
        <w:t>系一家具有法人资格的售电公司，符合售电公司准入条件并具备相关资质，企业所在地为</w:t>
      </w:r>
      <w:r>
        <w:rPr>
          <w:rFonts w:ascii="楷体" w:hAnsi="楷体" w:eastAsia="楷体"/>
          <w:color w:val="auto"/>
          <w:sz w:val="28"/>
          <w:szCs w:val="28"/>
          <w:u w:val="single"/>
        </w:rPr>
        <w:t xml:space="preserve">          </w:t>
      </w:r>
      <w:r>
        <w:rPr>
          <w:rFonts w:hint="eastAsia" w:ascii="楷体" w:hAnsi="楷体" w:eastAsia="楷体"/>
          <w:color w:val="auto"/>
          <w:sz w:val="28"/>
          <w:szCs w:val="28"/>
        </w:rPr>
        <w:t>，在</w:t>
      </w:r>
      <w:r>
        <w:rPr>
          <w:rFonts w:ascii="楷体" w:hAnsi="楷体" w:eastAsia="楷体"/>
          <w:color w:val="auto"/>
          <w:sz w:val="28"/>
          <w:szCs w:val="28"/>
          <w:u w:val="single"/>
        </w:rPr>
        <w:t xml:space="preserve">      </w:t>
      </w:r>
      <w:r>
        <w:rPr>
          <w:rFonts w:hint="eastAsia" w:ascii="楷体" w:hAnsi="楷体" w:eastAsia="楷体"/>
          <w:color w:val="auto"/>
          <w:sz w:val="28"/>
          <w:szCs w:val="28"/>
        </w:rPr>
        <w:t>登记注册，统一社会信用代码：</w:t>
      </w:r>
      <w:r>
        <w:rPr>
          <w:rFonts w:ascii="楷体" w:hAnsi="楷体" w:eastAsia="楷体"/>
          <w:color w:val="auto"/>
          <w:sz w:val="28"/>
          <w:szCs w:val="28"/>
          <w:u w:val="single"/>
        </w:rPr>
        <w:t xml:space="preserve">       </w:t>
      </w:r>
      <w:r>
        <w:rPr>
          <w:rFonts w:hint="eastAsia" w:ascii="楷体" w:hAnsi="楷体" w:eastAsia="楷体"/>
          <w:color w:val="auto"/>
          <w:sz w:val="28"/>
          <w:szCs w:val="28"/>
        </w:rPr>
        <w:t>，法定代表人/授权代理人：</w:t>
      </w:r>
      <w:r>
        <w:rPr>
          <w:rFonts w:ascii="楷体" w:hAnsi="楷体" w:eastAsia="楷体"/>
          <w:color w:val="auto"/>
          <w:sz w:val="28"/>
          <w:szCs w:val="28"/>
          <w:u w:val="single"/>
        </w:rPr>
        <w:t xml:space="preserve">        </w:t>
      </w:r>
      <w:r>
        <w:rPr>
          <w:rFonts w:hint="eastAsia" w:ascii="楷体" w:hAnsi="楷体" w:eastAsia="楷体"/>
          <w:color w:val="auto"/>
          <w:sz w:val="28"/>
          <w:szCs w:val="28"/>
        </w:rPr>
        <w:t>。</w:t>
      </w:r>
    </w:p>
    <w:p>
      <w:pPr>
        <w:adjustRightInd w:val="0"/>
        <w:snapToGrid w:val="0"/>
        <w:spacing w:line="500" w:lineRule="exact"/>
        <w:ind w:firstLine="560" w:firstLineChars="200"/>
        <w:rPr>
          <w:rFonts w:ascii="楷体" w:hAnsi="楷体" w:eastAsia="楷体"/>
          <w:color w:val="auto"/>
          <w:sz w:val="28"/>
          <w:szCs w:val="28"/>
        </w:rPr>
      </w:pPr>
      <w:r>
        <w:rPr>
          <w:rFonts w:hint="eastAsia" w:ascii="楷体" w:hAnsi="楷体" w:eastAsia="楷体"/>
          <w:color w:val="auto"/>
          <w:sz w:val="28"/>
          <w:szCs w:val="28"/>
        </w:rPr>
        <w:t>甲、乙方根据国家有关法律、法规，按照《国家发改委关于进一步深化燃煤发电上网电价市场化改革的通知》（发改价格〔2021〕1439号）、《国家发改委办公厅关于组织开展电网企业代理购电有关事项的通知》（发改价格〔2021〕809号）、《重庆市发改委关于调整我市工商业目录销售电价的通知》（渝发改价格〔2021〕1330号）、《重庆市发展和改革委员会关于进一步完善我市分时电价机制有关事项的通知》（渝发改规范〔2021〕14号）等文件，本着平等、自愿、公平和诚信的原则，经协商一致，达成本代理意向协议，约定如下：</w:t>
      </w:r>
    </w:p>
    <w:p>
      <w:pPr>
        <w:adjustRightInd w:val="0"/>
        <w:snapToGrid w:val="0"/>
        <w:spacing w:line="500" w:lineRule="exact"/>
        <w:ind w:firstLine="560" w:firstLineChars="200"/>
        <w:rPr>
          <w:rFonts w:ascii="楷体" w:hAnsi="楷体" w:eastAsia="楷体"/>
          <w:color w:val="auto"/>
          <w:sz w:val="28"/>
          <w:szCs w:val="28"/>
        </w:rPr>
      </w:pPr>
      <w:r>
        <w:rPr>
          <w:rFonts w:hint="eastAsia" w:ascii="楷体" w:hAnsi="楷体" w:eastAsia="楷体"/>
          <w:color w:val="auto"/>
          <w:sz w:val="28"/>
          <w:szCs w:val="28"/>
        </w:rPr>
        <w:t>一、甲方于      年  月至   月向乙方购电  万千瓦时，电量以实际结算电量为准。</w:t>
      </w:r>
    </w:p>
    <w:p>
      <w:pPr>
        <w:adjustRightInd w:val="0"/>
        <w:snapToGrid w:val="0"/>
        <w:spacing w:line="500" w:lineRule="exact"/>
        <w:ind w:firstLine="560" w:firstLineChars="200"/>
        <w:rPr>
          <w:rFonts w:ascii="楷体" w:hAnsi="楷体" w:eastAsia="楷体"/>
          <w:color w:val="auto"/>
          <w:sz w:val="28"/>
          <w:szCs w:val="28"/>
        </w:rPr>
      </w:pPr>
      <w:r>
        <w:rPr>
          <w:rFonts w:hint="eastAsia" w:ascii="楷体" w:hAnsi="楷体" w:eastAsia="楷体"/>
          <w:color w:val="auto"/>
          <w:sz w:val="28"/>
          <w:szCs w:val="28"/>
        </w:rPr>
        <w:t>二、协议有效期内，甲方购电电价用顺价模式，由用户分时平段交易价格（含税）+输配电价+政府性基金及附加组成（不含变压器基本电费、力调电费及辅助服务费）+乙方让利价格（负数）。</w:t>
      </w:r>
    </w:p>
    <w:p>
      <w:pPr>
        <w:adjustRightInd w:val="0"/>
        <w:snapToGrid w:val="0"/>
        <w:spacing w:line="500" w:lineRule="exact"/>
        <w:ind w:firstLine="560" w:firstLineChars="200"/>
        <w:rPr>
          <w:rFonts w:ascii="楷体" w:hAnsi="楷体" w:eastAsia="楷体"/>
          <w:color w:val="auto"/>
          <w:sz w:val="28"/>
          <w:szCs w:val="28"/>
        </w:rPr>
      </w:pPr>
      <w:r>
        <w:rPr>
          <w:rFonts w:hint="eastAsia" w:ascii="楷体" w:hAnsi="楷体" w:eastAsia="楷体"/>
          <w:color w:val="auto"/>
          <w:sz w:val="28"/>
          <w:szCs w:val="28"/>
        </w:rPr>
        <w:t>1.甲方购电的分时平段交易价格：由甲乙双方协商确定，且以燃煤发电企业基准电价0.3964元/千瓦时为基础，非高耗能企业上浮比例原则上不超过20%，高耗能企业上浮比例不受20%限制。</w:t>
      </w:r>
    </w:p>
    <w:p>
      <w:pPr>
        <w:adjustRightInd w:val="0"/>
        <w:snapToGrid w:val="0"/>
        <w:spacing w:line="500" w:lineRule="exact"/>
        <w:ind w:firstLine="560" w:firstLineChars="200"/>
        <w:rPr>
          <w:rFonts w:ascii="楷体" w:hAnsi="楷体" w:eastAsia="楷体"/>
          <w:color w:val="auto"/>
          <w:sz w:val="28"/>
          <w:szCs w:val="28"/>
        </w:rPr>
      </w:pPr>
      <w:r>
        <w:rPr>
          <w:rFonts w:hint="eastAsia" w:ascii="楷体" w:hAnsi="楷体" w:eastAsia="楷体"/>
          <w:color w:val="auto"/>
          <w:sz w:val="28"/>
          <w:szCs w:val="28"/>
        </w:rPr>
        <w:t>2.甲方购电的输配电价、政府性基金及附加</w:t>
      </w:r>
      <w:r>
        <w:rPr>
          <w:rFonts w:hint="eastAsia" w:ascii="楷体" w:hAnsi="楷体" w:eastAsia="楷体"/>
          <w:color w:val="auto"/>
          <w:sz w:val="28"/>
          <w:szCs w:val="28"/>
          <w:lang w:eastAsia="zh-CN"/>
        </w:rPr>
        <w:t>等</w:t>
      </w:r>
      <w:r>
        <w:rPr>
          <w:rFonts w:hint="eastAsia" w:ascii="楷体" w:hAnsi="楷体" w:eastAsia="楷体"/>
          <w:color w:val="auto"/>
          <w:sz w:val="28"/>
          <w:szCs w:val="28"/>
        </w:rPr>
        <w:t>按《重庆市发展和改革委员会关于调整我市销售电价有关事项的通知》渝发改价格〔2020〕1751号文执行。</w:t>
      </w:r>
    </w:p>
    <w:p>
      <w:pPr>
        <w:adjustRightInd w:val="0"/>
        <w:snapToGrid w:val="0"/>
        <w:spacing w:line="500" w:lineRule="exact"/>
        <w:ind w:firstLine="560" w:firstLineChars="200"/>
        <w:rPr>
          <w:rFonts w:ascii="楷体" w:hAnsi="楷体" w:eastAsia="楷体"/>
          <w:color w:val="auto"/>
          <w:sz w:val="28"/>
          <w:szCs w:val="28"/>
        </w:rPr>
      </w:pPr>
      <w:r>
        <w:rPr>
          <w:rFonts w:hint="eastAsia" w:ascii="楷体" w:hAnsi="楷体" w:eastAsia="楷体"/>
          <w:color w:val="auto"/>
          <w:sz w:val="28"/>
          <w:szCs w:val="28"/>
        </w:rPr>
        <w:t>3.甲方购电的其余分时段电价按照《重庆市发展和改革委员会关于进一步完善我市分时电价机制有关事项的通知》（渝发改规范〔2021〕14号）文执行。</w:t>
      </w:r>
    </w:p>
    <w:p>
      <w:pPr>
        <w:adjustRightInd w:val="0"/>
        <w:snapToGrid w:val="0"/>
        <w:spacing w:line="500" w:lineRule="exact"/>
        <w:ind w:firstLine="560" w:firstLineChars="200"/>
        <w:rPr>
          <w:rFonts w:ascii="楷体" w:hAnsi="楷体" w:eastAsia="楷体"/>
          <w:color w:val="auto"/>
          <w:sz w:val="28"/>
          <w:szCs w:val="28"/>
        </w:rPr>
      </w:pPr>
      <w:r>
        <w:rPr>
          <w:rFonts w:ascii="楷体" w:hAnsi="楷体" w:eastAsia="楷体"/>
          <w:color w:val="auto"/>
          <w:sz w:val="28"/>
          <w:szCs w:val="28"/>
        </w:rPr>
        <w:t xml:space="preserve">4. </w:t>
      </w:r>
      <w:r>
        <w:rPr>
          <w:rFonts w:hint="eastAsia" w:ascii="楷体" w:hAnsi="楷体" w:eastAsia="楷体"/>
          <w:color w:val="auto"/>
          <w:sz w:val="28"/>
          <w:szCs w:val="28"/>
        </w:rPr>
        <w:t>输配电价参与电力市场化交易分时浮动，具体按政府相关文件执行。</w:t>
      </w:r>
    </w:p>
    <w:p>
      <w:pPr>
        <w:adjustRightInd w:val="0"/>
        <w:snapToGrid w:val="0"/>
        <w:spacing w:line="500" w:lineRule="exact"/>
        <w:ind w:firstLine="560" w:firstLineChars="200"/>
        <w:rPr>
          <w:rFonts w:ascii="楷体" w:hAnsi="楷体" w:eastAsia="楷体"/>
          <w:color w:val="auto"/>
          <w:sz w:val="28"/>
          <w:szCs w:val="28"/>
        </w:rPr>
      </w:pPr>
      <w:r>
        <w:rPr>
          <w:rFonts w:hint="eastAsia" w:ascii="楷体" w:hAnsi="楷体" w:eastAsia="楷体"/>
          <w:color w:val="auto"/>
          <w:sz w:val="28"/>
          <w:szCs w:val="28"/>
        </w:rPr>
        <w:t>5.</w:t>
      </w:r>
      <w:r>
        <w:rPr>
          <w:rFonts w:hint="eastAsia" w:ascii="楷体" w:hAnsi="楷体" w:eastAsia="楷体"/>
          <w:color w:val="auto"/>
          <w:sz w:val="28"/>
          <w:szCs w:val="28"/>
          <w:lang w:eastAsia="zh-CN"/>
        </w:rPr>
        <w:t>协议执行有效期内，如遇政府政策文件调整，以调整后的规定为准</w:t>
      </w:r>
      <w:r>
        <w:rPr>
          <w:rFonts w:hint="eastAsia" w:ascii="楷体" w:hAnsi="楷体" w:eastAsia="楷体"/>
          <w:color w:val="auto"/>
          <w:sz w:val="28"/>
          <w:szCs w:val="28"/>
        </w:rPr>
        <w:t>。</w:t>
      </w:r>
    </w:p>
    <w:p>
      <w:pPr>
        <w:adjustRightInd w:val="0"/>
        <w:snapToGrid w:val="0"/>
        <w:spacing w:line="500" w:lineRule="exact"/>
        <w:ind w:firstLine="560" w:firstLineChars="200"/>
        <w:rPr>
          <w:rFonts w:ascii="楷体" w:hAnsi="楷体" w:eastAsia="楷体"/>
          <w:color w:val="auto"/>
          <w:sz w:val="28"/>
          <w:szCs w:val="28"/>
        </w:rPr>
      </w:pPr>
      <w:r>
        <w:rPr>
          <w:rFonts w:hint="eastAsia" w:ascii="楷体" w:hAnsi="楷体" w:eastAsia="楷体"/>
          <w:color w:val="auto"/>
          <w:sz w:val="28"/>
          <w:szCs w:val="28"/>
        </w:rPr>
        <w:t>三、期间，如遇国家调整电价，甲乙双方在保证发电侧让利不变情况下调整发电侧交易价格、用户侧交易价格和到户电度电价，双方不再重新签订协议。</w:t>
      </w:r>
    </w:p>
    <w:p>
      <w:pPr>
        <w:adjustRightInd w:val="0"/>
        <w:snapToGrid w:val="0"/>
        <w:spacing w:line="500" w:lineRule="exact"/>
        <w:ind w:firstLine="560" w:firstLineChars="200"/>
        <w:rPr>
          <w:rFonts w:ascii="楷体" w:hAnsi="楷体" w:eastAsia="楷体"/>
          <w:color w:val="auto"/>
          <w:sz w:val="28"/>
          <w:szCs w:val="28"/>
        </w:rPr>
      </w:pPr>
      <w:r>
        <w:rPr>
          <w:rFonts w:hint="eastAsia" w:ascii="楷体" w:hAnsi="楷体" w:eastAsia="楷体"/>
          <w:color w:val="auto"/>
          <w:sz w:val="28"/>
          <w:szCs w:val="28"/>
        </w:rPr>
        <w:t>本协议一式柒份，甲乙双方各执两份，交重庆市经济和信息化委员会、国网重庆市电力公司和重庆电力交易中心有限公司各一份备案。</w:t>
      </w:r>
    </w:p>
    <w:p>
      <w:pPr>
        <w:adjustRightInd w:val="0"/>
        <w:snapToGrid w:val="0"/>
        <w:spacing w:line="500" w:lineRule="exact"/>
        <w:rPr>
          <w:rFonts w:ascii="楷体" w:hAnsi="楷体" w:eastAsia="楷体"/>
          <w:color w:val="auto"/>
          <w:sz w:val="28"/>
          <w:szCs w:val="28"/>
        </w:rPr>
      </w:pPr>
    </w:p>
    <w:p>
      <w:pPr>
        <w:adjustRightInd w:val="0"/>
        <w:snapToGrid w:val="0"/>
        <w:spacing w:line="500" w:lineRule="exact"/>
        <w:ind w:firstLine="560" w:firstLineChars="200"/>
        <w:rPr>
          <w:rFonts w:ascii="楷体" w:hAnsi="楷体" w:eastAsia="楷体"/>
          <w:color w:val="auto"/>
          <w:sz w:val="28"/>
          <w:szCs w:val="28"/>
        </w:rPr>
      </w:pPr>
      <w:r>
        <w:rPr>
          <w:rFonts w:hint="eastAsia" w:ascii="楷体" w:hAnsi="楷体" w:eastAsia="楷体"/>
          <w:color w:val="auto"/>
          <w:sz w:val="28"/>
          <w:szCs w:val="28"/>
        </w:rPr>
        <w:t xml:space="preserve">甲方：                              乙方：                      </w:t>
      </w:r>
    </w:p>
    <w:p>
      <w:pPr>
        <w:adjustRightInd w:val="0"/>
        <w:snapToGrid w:val="0"/>
        <w:spacing w:line="500" w:lineRule="exact"/>
        <w:ind w:firstLine="560" w:firstLineChars="200"/>
        <w:rPr>
          <w:rFonts w:ascii="楷体" w:hAnsi="楷体" w:eastAsia="楷体"/>
          <w:color w:val="auto"/>
          <w:sz w:val="28"/>
          <w:szCs w:val="28"/>
        </w:rPr>
      </w:pPr>
      <w:r>
        <w:rPr>
          <w:rFonts w:hint="eastAsia" w:ascii="楷体" w:hAnsi="楷体" w:eastAsia="楷体"/>
          <w:color w:val="auto"/>
          <w:sz w:val="28"/>
          <w:szCs w:val="28"/>
        </w:rPr>
        <w:t>法人代表/授权代理人:          法人代表/授权代理人:</w:t>
      </w:r>
    </w:p>
    <w:p>
      <w:pPr>
        <w:adjustRightInd w:val="0"/>
        <w:snapToGrid w:val="0"/>
        <w:spacing w:line="500" w:lineRule="exact"/>
        <w:ind w:firstLine="560" w:firstLineChars="200"/>
        <w:rPr>
          <w:rFonts w:ascii="楷体" w:hAnsi="楷体" w:eastAsia="楷体"/>
          <w:color w:val="auto"/>
          <w:sz w:val="28"/>
          <w:szCs w:val="28"/>
        </w:rPr>
      </w:pPr>
      <w:r>
        <w:rPr>
          <w:rFonts w:hint="eastAsia" w:ascii="楷体" w:hAnsi="楷体" w:eastAsia="楷体"/>
          <w:color w:val="auto"/>
          <w:sz w:val="28"/>
          <w:szCs w:val="28"/>
        </w:rPr>
        <w:t>单位签章：                        单位签章：</w:t>
      </w:r>
    </w:p>
    <w:p>
      <w:pPr>
        <w:adjustRightInd w:val="0"/>
        <w:snapToGrid w:val="0"/>
        <w:spacing w:line="500" w:lineRule="exact"/>
        <w:ind w:firstLine="560" w:firstLineChars="200"/>
        <w:rPr>
          <w:rFonts w:ascii="楷体" w:hAnsi="楷体" w:eastAsia="楷体"/>
          <w:color w:val="auto"/>
          <w:sz w:val="28"/>
          <w:szCs w:val="28"/>
        </w:rPr>
      </w:pPr>
    </w:p>
    <w:p>
      <w:pPr>
        <w:adjustRightInd w:val="0"/>
        <w:snapToGrid w:val="0"/>
        <w:spacing w:line="500" w:lineRule="exact"/>
        <w:jc w:val="center"/>
        <w:rPr>
          <w:rFonts w:ascii="楷体" w:hAnsi="楷体" w:eastAsia="楷体"/>
          <w:color w:val="auto"/>
          <w:sz w:val="28"/>
          <w:szCs w:val="28"/>
        </w:rPr>
      </w:pPr>
      <w:r>
        <w:rPr>
          <w:rFonts w:hint="eastAsia" w:ascii="楷体" w:hAnsi="楷体" w:eastAsia="楷体"/>
          <w:color w:val="auto"/>
          <w:sz w:val="28"/>
          <w:szCs w:val="28"/>
        </w:rPr>
        <w:t>签约时间：    年  月  日</w:t>
      </w:r>
    </w:p>
    <w:p>
      <w:pPr>
        <w:widowControl/>
        <w:spacing w:line="500" w:lineRule="exact"/>
        <w:rPr>
          <w:rFonts w:ascii="楷体" w:hAnsi="楷体" w:eastAsia="楷体"/>
          <w:color w:val="auto"/>
          <w:sz w:val="28"/>
          <w:szCs w:val="28"/>
        </w:rPr>
      </w:pPr>
      <w:r>
        <w:rPr>
          <w:rFonts w:ascii="楷体" w:hAnsi="楷体" w:eastAsia="楷体"/>
          <w:color w:val="auto"/>
          <w:sz w:val="28"/>
          <w:szCs w:val="28"/>
        </w:rPr>
        <w:br w:type="page"/>
      </w:r>
    </w:p>
    <w:p>
      <w:pPr>
        <w:pStyle w:val="2"/>
        <w:spacing w:line="540" w:lineRule="exact"/>
        <w:jc w:val="center"/>
        <w:rPr>
          <w:rFonts w:ascii="黑体" w:hAnsi="宋体"/>
          <w:color w:val="auto"/>
          <w:sz w:val="36"/>
          <w:szCs w:val="36"/>
        </w:rPr>
      </w:pPr>
      <w:r>
        <w:rPr>
          <w:rFonts w:hint="eastAsia" w:ascii="黑体" w:hAnsi="宋体"/>
          <w:color w:val="auto"/>
          <w:sz w:val="36"/>
          <w:szCs w:val="36"/>
        </w:rPr>
        <w:t>第四部分：其他要求</w:t>
      </w:r>
    </w:p>
    <w:p>
      <w:pPr>
        <w:pStyle w:val="2"/>
        <w:spacing w:line="540" w:lineRule="exact"/>
        <w:jc w:val="center"/>
        <w:rPr>
          <w:rFonts w:ascii="楷体" w:hAnsi="楷体" w:eastAsia="楷体"/>
          <w:color w:val="auto"/>
          <w:sz w:val="36"/>
          <w:szCs w:val="36"/>
        </w:rPr>
      </w:pPr>
      <w:r>
        <w:rPr>
          <w:rFonts w:hint="eastAsia" w:ascii="楷体" w:hAnsi="楷体" w:eastAsia="楷体"/>
          <w:color w:val="auto"/>
          <w:sz w:val="36"/>
          <w:szCs w:val="36"/>
        </w:rPr>
        <w:t>投标函</w:t>
      </w:r>
    </w:p>
    <w:p>
      <w:pPr>
        <w:spacing w:line="560" w:lineRule="exact"/>
        <w:rPr>
          <w:rFonts w:ascii="宋体" w:hAnsi="宋体"/>
          <w:color w:val="auto"/>
          <w:sz w:val="24"/>
          <w:u w:val="single"/>
        </w:rPr>
      </w:pPr>
      <w:r>
        <w:rPr>
          <w:rFonts w:hint="eastAsia" w:ascii="楷体" w:hAnsi="楷体" w:eastAsia="楷体"/>
          <w:b/>
          <w:color w:val="auto"/>
          <w:sz w:val="28"/>
          <w:szCs w:val="28"/>
          <w:u w:val="single"/>
        </w:rPr>
        <w:t>重庆盛普物资有限公司</w:t>
      </w:r>
      <w:r>
        <w:rPr>
          <w:rFonts w:hint="eastAsia" w:ascii="宋体" w:hAnsi="宋体"/>
          <w:color w:val="auto"/>
          <w:sz w:val="24"/>
          <w:u w:val="single"/>
        </w:rPr>
        <w:t>：</w:t>
      </w:r>
    </w:p>
    <w:p>
      <w:pPr>
        <w:spacing w:line="560" w:lineRule="exact"/>
        <w:ind w:firstLine="480"/>
        <w:rPr>
          <w:rFonts w:ascii="楷体" w:hAnsi="楷体" w:eastAsia="楷体"/>
          <w:color w:val="auto"/>
          <w:sz w:val="28"/>
          <w:szCs w:val="28"/>
        </w:rPr>
      </w:pPr>
      <w:r>
        <w:rPr>
          <w:rFonts w:hint="eastAsia" w:ascii="楷体" w:hAnsi="楷体" w:eastAsia="楷体"/>
          <w:color w:val="auto"/>
          <w:sz w:val="28"/>
          <w:szCs w:val="28"/>
        </w:rPr>
        <w:t>1、我方已仔细研究了你方</w:t>
      </w:r>
      <w:r>
        <w:rPr>
          <w:rFonts w:hint="eastAsia" w:ascii="楷体" w:hAnsi="楷体" w:eastAsia="楷体"/>
          <w:color w:val="auto"/>
          <w:sz w:val="28"/>
          <w:szCs w:val="28"/>
          <w:u w:val="single"/>
        </w:rPr>
        <w:t>2022</w:t>
      </w:r>
      <w:r>
        <w:rPr>
          <w:rFonts w:ascii="楷体" w:hAnsi="楷体" w:eastAsia="楷体"/>
          <w:color w:val="auto"/>
          <w:sz w:val="28"/>
          <w:szCs w:val="28"/>
          <w:u w:val="single"/>
        </w:rPr>
        <w:t>年</w:t>
      </w:r>
      <w:r>
        <w:rPr>
          <w:rFonts w:hint="eastAsia" w:ascii="楷体" w:hAnsi="楷体" w:eastAsia="楷体"/>
          <w:color w:val="auto"/>
          <w:sz w:val="28"/>
          <w:szCs w:val="28"/>
          <w:u w:val="single"/>
        </w:rPr>
        <w:t>二、三、四季度</w:t>
      </w:r>
      <w:r>
        <w:rPr>
          <w:rFonts w:ascii="楷体" w:hAnsi="楷体" w:eastAsia="楷体"/>
          <w:color w:val="auto"/>
          <w:sz w:val="28"/>
          <w:szCs w:val="28"/>
          <w:u w:val="single"/>
        </w:rPr>
        <w:t>电力直接交易（含政府基金附加和输配电）</w:t>
      </w:r>
      <w:r>
        <w:rPr>
          <w:rFonts w:hint="eastAsia" w:ascii="楷体" w:hAnsi="楷体" w:eastAsia="楷体"/>
          <w:color w:val="auto"/>
          <w:sz w:val="28"/>
          <w:szCs w:val="28"/>
        </w:rPr>
        <w:t>（招标项目名称）招标文件的全部内容，并完全同意按照你方招标文件的要求参与投标。我方承诺在投标有效期内不修改、撤销投标文件。</w:t>
      </w:r>
    </w:p>
    <w:p>
      <w:pPr>
        <w:spacing w:line="600" w:lineRule="exact"/>
        <w:ind w:firstLine="480"/>
        <w:rPr>
          <w:rFonts w:ascii="楷体" w:hAnsi="楷体" w:eastAsia="楷体"/>
          <w:color w:val="auto"/>
          <w:sz w:val="28"/>
          <w:szCs w:val="28"/>
        </w:rPr>
      </w:pPr>
      <w:r>
        <w:rPr>
          <w:rFonts w:hint="eastAsia" w:ascii="楷体" w:hAnsi="楷体" w:eastAsia="楷体"/>
          <w:color w:val="auto"/>
          <w:sz w:val="28"/>
          <w:szCs w:val="28"/>
        </w:rPr>
        <w:t>2、如我方中标：</w:t>
      </w:r>
    </w:p>
    <w:p>
      <w:pPr>
        <w:spacing w:line="600" w:lineRule="exact"/>
        <w:ind w:firstLine="480"/>
        <w:rPr>
          <w:rFonts w:ascii="楷体" w:hAnsi="楷体" w:eastAsia="楷体"/>
          <w:color w:val="auto"/>
          <w:sz w:val="28"/>
          <w:szCs w:val="28"/>
        </w:rPr>
      </w:pPr>
      <w:r>
        <w:rPr>
          <w:rFonts w:hint="eastAsia" w:ascii="楷体" w:hAnsi="楷体" w:eastAsia="楷体"/>
          <w:color w:val="auto"/>
          <w:sz w:val="28"/>
          <w:szCs w:val="28"/>
        </w:rPr>
        <w:t>（</w:t>
      </w:r>
      <w:r>
        <w:rPr>
          <w:rFonts w:ascii="楷体" w:hAnsi="楷体" w:eastAsia="楷体"/>
          <w:color w:val="auto"/>
          <w:sz w:val="28"/>
          <w:szCs w:val="28"/>
        </w:rPr>
        <w:t>1</w:t>
      </w:r>
      <w:r>
        <w:rPr>
          <w:rFonts w:hint="eastAsia" w:ascii="楷体" w:hAnsi="楷体" w:eastAsia="楷体"/>
          <w:color w:val="auto"/>
          <w:sz w:val="28"/>
          <w:szCs w:val="28"/>
        </w:rPr>
        <w:t>）我方承诺在收到中标通知书后，在你方规定的5个工作日内与你方所属企业签订</w:t>
      </w:r>
      <w:r>
        <w:rPr>
          <w:rFonts w:hint="eastAsia" w:ascii="楷体" w:hAnsi="楷体" w:eastAsia="楷体"/>
          <w:color w:val="auto"/>
          <w:sz w:val="28"/>
          <w:szCs w:val="28"/>
          <w:lang w:eastAsia="zh-CN"/>
        </w:rPr>
        <w:t>供电协议</w:t>
      </w:r>
      <w:r>
        <w:rPr>
          <w:rFonts w:hint="eastAsia" w:ascii="楷体" w:hAnsi="楷体" w:eastAsia="楷体"/>
          <w:color w:val="auto"/>
          <w:sz w:val="28"/>
          <w:szCs w:val="28"/>
        </w:rPr>
        <w:t>；</w:t>
      </w:r>
    </w:p>
    <w:p>
      <w:pPr>
        <w:spacing w:line="600" w:lineRule="exact"/>
        <w:ind w:firstLine="480"/>
        <w:rPr>
          <w:rFonts w:ascii="楷体" w:hAnsi="楷体" w:eastAsia="楷体"/>
          <w:color w:val="auto"/>
          <w:sz w:val="28"/>
          <w:szCs w:val="28"/>
        </w:rPr>
      </w:pPr>
      <w:r>
        <w:rPr>
          <w:rFonts w:hint="eastAsia" w:ascii="楷体" w:hAnsi="楷体" w:eastAsia="楷体"/>
          <w:color w:val="auto"/>
          <w:sz w:val="28"/>
          <w:szCs w:val="28"/>
        </w:rPr>
        <w:t>（</w:t>
      </w:r>
      <w:r>
        <w:rPr>
          <w:rFonts w:ascii="楷体" w:hAnsi="楷体" w:eastAsia="楷体"/>
          <w:color w:val="auto"/>
          <w:sz w:val="28"/>
          <w:szCs w:val="28"/>
        </w:rPr>
        <w:t>2</w:t>
      </w:r>
      <w:r>
        <w:rPr>
          <w:rFonts w:hint="eastAsia" w:ascii="楷体" w:hAnsi="楷体" w:eastAsia="楷体"/>
          <w:color w:val="auto"/>
          <w:sz w:val="28"/>
          <w:szCs w:val="28"/>
        </w:rPr>
        <w:t>）我方承诺在收到中标通知书后，如果放弃中标义务，你方有权向我方收取人民币壹拾万元的违约补偿金；</w:t>
      </w:r>
    </w:p>
    <w:p>
      <w:pPr>
        <w:spacing w:line="600" w:lineRule="exact"/>
        <w:ind w:firstLine="480"/>
        <w:rPr>
          <w:rFonts w:ascii="楷体" w:hAnsi="楷体" w:eastAsia="楷体"/>
          <w:color w:val="auto"/>
          <w:sz w:val="28"/>
          <w:szCs w:val="28"/>
        </w:rPr>
      </w:pPr>
      <w:r>
        <w:rPr>
          <w:rFonts w:hint="eastAsia" w:ascii="楷体" w:hAnsi="楷体" w:eastAsia="楷体"/>
          <w:color w:val="auto"/>
          <w:sz w:val="28"/>
          <w:szCs w:val="28"/>
        </w:rPr>
        <w:t>（</w:t>
      </w:r>
      <w:r>
        <w:rPr>
          <w:rFonts w:ascii="楷体" w:hAnsi="楷体" w:eastAsia="楷体"/>
          <w:color w:val="auto"/>
          <w:sz w:val="28"/>
          <w:szCs w:val="28"/>
        </w:rPr>
        <w:t>3</w:t>
      </w:r>
      <w:r>
        <w:rPr>
          <w:rFonts w:hint="eastAsia" w:ascii="楷体" w:hAnsi="楷体" w:eastAsia="楷体"/>
          <w:color w:val="auto"/>
          <w:sz w:val="28"/>
          <w:szCs w:val="28"/>
        </w:rPr>
        <w:t>）我方承诺无条件执行招标文件及合同约定的全部条款，你方有权向我方收取人民币壹拾万元的违约补偿金；</w:t>
      </w:r>
    </w:p>
    <w:p>
      <w:pPr>
        <w:spacing w:line="600" w:lineRule="exact"/>
        <w:ind w:firstLine="480"/>
        <w:rPr>
          <w:rFonts w:ascii="楷体" w:hAnsi="楷体" w:eastAsia="楷体"/>
          <w:color w:val="auto"/>
          <w:sz w:val="28"/>
          <w:szCs w:val="28"/>
        </w:rPr>
      </w:pPr>
      <w:r>
        <w:rPr>
          <w:rFonts w:hint="eastAsia" w:ascii="楷体" w:hAnsi="楷体" w:eastAsia="楷体"/>
          <w:color w:val="auto"/>
          <w:sz w:val="28"/>
          <w:szCs w:val="28"/>
        </w:rPr>
        <w:t>（4）我方将全面履行电力营销服务义务。</w:t>
      </w:r>
    </w:p>
    <w:p>
      <w:pPr>
        <w:spacing w:line="600" w:lineRule="exact"/>
        <w:ind w:firstLine="465"/>
        <w:rPr>
          <w:rFonts w:ascii="楷体" w:hAnsi="楷体" w:eastAsia="楷体"/>
          <w:color w:val="auto"/>
          <w:sz w:val="28"/>
          <w:szCs w:val="28"/>
        </w:rPr>
      </w:pPr>
      <w:r>
        <w:rPr>
          <w:rFonts w:ascii="楷体" w:hAnsi="楷体" w:eastAsia="楷体"/>
          <w:color w:val="auto"/>
          <w:sz w:val="28"/>
          <w:szCs w:val="28"/>
        </w:rPr>
        <w:t>4</w:t>
      </w:r>
      <w:r>
        <w:rPr>
          <w:rFonts w:hint="eastAsia" w:ascii="楷体" w:hAnsi="楷体" w:eastAsia="楷体"/>
          <w:color w:val="auto"/>
          <w:sz w:val="28"/>
          <w:szCs w:val="28"/>
        </w:rPr>
        <w:t>、我方在此声明：所递交的投标文件及有关资料内容完整、真实准确，且不存在任何恶意竞标的行为。</w:t>
      </w:r>
    </w:p>
    <w:p>
      <w:pPr>
        <w:spacing w:line="600" w:lineRule="exact"/>
        <w:ind w:firstLine="465"/>
        <w:rPr>
          <w:rFonts w:ascii="楷体" w:hAnsi="楷体" w:eastAsia="楷体"/>
          <w:color w:val="auto"/>
          <w:sz w:val="28"/>
          <w:szCs w:val="28"/>
        </w:rPr>
      </w:pPr>
      <w:r>
        <w:rPr>
          <w:rFonts w:ascii="楷体" w:hAnsi="楷体" w:eastAsia="楷体"/>
          <w:color w:val="auto"/>
          <w:sz w:val="28"/>
          <w:szCs w:val="28"/>
        </w:rPr>
        <w:t>5</w:t>
      </w:r>
      <w:r>
        <w:rPr>
          <w:rFonts w:hint="eastAsia" w:ascii="楷体" w:hAnsi="楷体" w:eastAsia="楷体"/>
          <w:color w:val="auto"/>
          <w:sz w:val="28"/>
          <w:szCs w:val="28"/>
        </w:rPr>
        <w:t>、本投标自开标之日起</w:t>
      </w:r>
      <w:r>
        <w:rPr>
          <w:rFonts w:hint="eastAsia" w:ascii="楷体" w:hAnsi="楷体" w:eastAsia="楷体"/>
          <w:color w:val="auto"/>
          <w:sz w:val="28"/>
          <w:szCs w:val="28"/>
          <w:u w:val="single"/>
        </w:rPr>
        <w:t>90天</w:t>
      </w:r>
      <w:r>
        <w:rPr>
          <w:rFonts w:hint="eastAsia" w:ascii="楷体" w:hAnsi="楷体" w:eastAsia="楷体"/>
          <w:color w:val="auto"/>
          <w:sz w:val="28"/>
          <w:szCs w:val="28"/>
        </w:rPr>
        <w:t>内有效。</w:t>
      </w:r>
    </w:p>
    <w:p>
      <w:pPr>
        <w:spacing w:line="600" w:lineRule="exact"/>
        <w:ind w:firstLine="465"/>
        <w:rPr>
          <w:rFonts w:ascii="楷体" w:hAnsi="楷体" w:eastAsia="楷体"/>
          <w:color w:val="auto"/>
          <w:sz w:val="28"/>
          <w:szCs w:val="28"/>
        </w:rPr>
      </w:pPr>
      <w:r>
        <w:rPr>
          <w:rFonts w:hint="eastAsia" w:ascii="楷体" w:hAnsi="楷体" w:eastAsia="楷体"/>
          <w:color w:val="auto"/>
          <w:sz w:val="28"/>
          <w:szCs w:val="28"/>
        </w:rPr>
        <w:t>6、（其他补充说明）。</w:t>
      </w:r>
    </w:p>
    <w:p>
      <w:pPr>
        <w:spacing w:line="640" w:lineRule="exact"/>
        <w:rPr>
          <w:rFonts w:ascii="楷体" w:hAnsi="楷体" w:eastAsia="楷体"/>
          <w:color w:val="auto"/>
          <w:sz w:val="28"/>
          <w:szCs w:val="28"/>
        </w:rPr>
      </w:pPr>
    </w:p>
    <w:p>
      <w:pPr>
        <w:spacing w:line="640" w:lineRule="exact"/>
        <w:rPr>
          <w:rFonts w:ascii="楷体" w:hAnsi="楷体" w:eastAsia="楷体"/>
          <w:color w:val="auto"/>
          <w:sz w:val="28"/>
          <w:szCs w:val="28"/>
        </w:rPr>
      </w:pPr>
    </w:p>
    <w:p>
      <w:pPr>
        <w:spacing w:line="640" w:lineRule="exact"/>
        <w:rPr>
          <w:rFonts w:ascii="楷体" w:hAnsi="楷体" w:eastAsia="楷体"/>
          <w:color w:val="auto"/>
          <w:sz w:val="28"/>
          <w:szCs w:val="28"/>
        </w:rPr>
      </w:pPr>
    </w:p>
    <w:p>
      <w:pPr>
        <w:spacing w:line="640" w:lineRule="exact"/>
        <w:rPr>
          <w:rFonts w:ascii="楷体" w:hAnsi="楷体" w:eastAsia="楷体"/>
          <w:color w:val="auto"/>
          <w:sz w:val="28"/>
          <w:szCs w:val="28"/>
        </w:rPr>
      </w:pPr>
    </w:p>
    <w:p>
      <w:pPr>
        <w:spacing w:line="640" w:lineRule="exact"/>
        <w:rPr>
          <w:rFonts w:ascii="楷体" w:hAnsi="楷体" w:eastAsia="楷体"/>
          <w:color w:val="auto"/>
          <w:sz w:val="28"/>
          <w:szCs w:val="28"/>
        </w:rPr>
      </w:pPr>
    </w:p>
    <w:p>
      <w:pPr>
        <w:spacing w:line="640" w:lineRule="exact"/>
        <w:rPr>
          <w:rFonts w:ascii="楷体" w:hAnsi="楷体" w:eastAsia="楷体"/>
          <w:color w:val="auto"/>
          <w:sz w:val="28"/>
          <w:szCs w:val="28"/>
        </w:rPr>
      </w:pPr>
      <w:r>
        <w:rPr>
          <w:rFonts w:hint="eastAsia" w:ascii="楷体" w:hAnsi="楷体" w:eastAsia="楷体"/>
          <w:color w:val="auto"/>
          <w:sz w:val="28"/>
          <w:szCs w:val="28"/>
        </w:rPr>
        <w:t xml:space="preserve">投标人（盖公章）： </w:t>
      </w:r>
    </w:p>
    <w:p>
      <w:pPr>
        <w:spacing w:line="640" w:lineRule="exact"/>
        <w:rPr>
          <w:rFonts w:ascii="楷体" w:hAnsi="楷体" w:eastAsia="楷体"/>
          <w:color w:val="auto"/>
          <w:sz w:val="28"/>
          <w:szCs w:val="28"/>
        </w:rPr>
      </w:pPr>
      <w:r>
        <w:rPr>
          <w:rFonts w:hint="eastAsia" w:ascii="楷体" w:hAnsi="楷体" w:eastAsia="楷体"/>
          <w:color w:val="auto"/>
          <w:sz w:val="28"/>
          <w:szCs w:val="28"/>
        </w:rPr>
        <w:t>法定代表人或其委托代理人（签字）：</w:t>
      </w:r>
      <w:r>
        <w:rPr>
          <w:rFonts w:ascii="楷体" w:hAnsi="楷体" w:eastAsia="楷体"/>
          <w:color w:val="auto"/>
          <w:sz w:val="28"/>
          <w:szCs w:val="28"/>
        </w:rPr>
        <w:t xml:space="preserve"> </w:t>
      </w:r>
    </w:p>
    <w:p>
      <w:pPr>
        <w:spacing w:line="640" w:lineRule="exact"/>
        <w:rPr>
          <w:rFonts w:ascii="楷体" w:hAnsi="楷体" w:eastAsia="楷体"/>
          <w:color w:val="auto"/>
          <w:sz w:val="28"/>
          <w:szCs w:val="28"/>
        </w:rPr>
      </w:pPr>
      <w:r>
        <w:rPr>
          <w:rFonts w:hint="eastAsia" w:ascii="楷体" w:hAnsi="楷体" w:eastAsia="楷体"/>
          <w:color w:val="auto"/>
          <w:sz w:val="28"/>
          <w:szCs w:val="28"/>
        </w:rPr>
        <w:t>地址：</w:t>
      </w:r>
    </w:p>
    <w:p>
      <w:pPr>
        <w:spacing w:line="640" w:lineRule="exact"/>
        <w:rPr>
          <w:rFonts w:ascii="楷体" w:hAnsi="楷体" w:eastAsia="楷体"/>
          <w:color w:val="auto"/>
          <w:sz w:val="28"/>
          <w:szCs w:val="28"/>
          <w:u w:val="single"/>
        </w:rPr>
      </w:pPr>
      <w:r>
        <w:rPr>
          <w:rFonts w:hint="eastAsia" w:ascii="楷体" w:hAnsi="楷体" w:eastAsia="楷体"/>
          <w:color w:val="auto"/>
          <w:sz w:val="28"/>
          <w:szCs w:val="28"/>
        </w:rPr>
        <w:t>网址：</w:t>
      </w:r>
    </w:p>
    <w:p>
      <w:pPr>
        <w:spacing w:line="640" w:lineRule="exact"/>
        <w:rPr>
          <w:rFonts w:ascii="楷体" w:hAnsi="楷体" w:eastAsia="楷体"/>
          <w:color w:val="auto"/>
          <w:sz w:val="28"/>
          <w:szCs w:val="28"/>
        </w:rPr>
      </w:pPr>
      <w:r>
        <w:rPr>
          <w:rFonts w:hint="eastAsia" w:ascii="楷体" w:hAnsi="楷体" w:eastAsia="楷体"/>
          <w:color w:val="auto"/>
          <w:sz w:val="28"/>
          <w:szCs w:val="28"/>
        </w:rPr>
        <w:t>电话：</w:t>
      </w:r>
    </w:p>
    <w:p>
      <w:pPr>
        <w:spacing w:line="640" w:lineRule="exact"/>
        <w:rPr>
          <w:rFonts w:ascii="楷体" w:hAnsi="楷体" w:eastAsia="楷体"/>
          <w:color w:val="auto"/>
          <w:sz w:val="28"/>
          <w:szCs w:val="28"/>
        </w:rPr>
      </w:pPr>
      <w:r>
        <w:rPr>
          <w:rFonts w:hint="eastAsia" w:ascii="楷体" w:hAnsi="楷体" w:eastAsia="楷体"/>
          <w:color w:val="auto"/>
          <w:sz w:val="28"/>
          <w:szCs w:val="28"/>
        </w:rPr>
        <w:t>传真：</w:t>
      </w:r>
    </w:p>
    <w:p>
      <w:pPr>
        <w:spacing w:line="640" w:lineRule="exact"/>
        <w:rPr>
          <w:rFonts w:ascii="楷体" w:hAnsi="楷体" w:eastAsia="楷体"/>
          <w:color w:val="auto"/>
          <w:sz w:val="28"/>
          <w:szCs w:val="28"/>
        </w:rPr>
      </w:pPr>
      <w:r>
        <w:rPr>
          <w:rFonts w:hint="eastAsia" w:ascii="楷体" w:hAnsi="楷体" w:eastAsia="楷体"/>
          <w:color w:val="auto"/>
          <w:sz w:val="28"/>
          <w:szCs w:val="28"/>
        </w:rPr>
        <w:t>邮政编码：</w:t>
      </w:r>
    </w:p>
    <w:p>
      <w:pPr>
        <w:spacing w:line="640" w:lineRule="exact"/>
        <w:rPr>
          <w:rFonts w:ascii="楷体" w:hAnsi="楷体" w:eastAsia="楷体"/>
          <w:color w:val="auto"/>
          <w:sz w:val="28"/>
          <w:szCs w:val="28"/>
        </w:rPr>
      </w:pPr>
    </w:p>
    <w:p>
      <w:pPr>
        <w:spacing w:line="640" w:lineRule="exact"/>
        <w:rPr>
          <w:rFonts w:ascii="楷体" w:hAnsi="楷体" w:eastAsia="楷体"/>
          <w:color w:val="auto"/>
          <w:sz w:val="28"/>
          <w:szCs w:val="28"/>
        </w:rPr>
      </w:pPr>
    </w:p>
    <w:p>
      <w:pPr>
        <w:spacing w:line="640" w:lineRule="exact"/>
        <w:ind w:firstLine="6204" w:firstLineChars="2216"/>
        <w:rPr>
          <w:rFonts w:ascii="楷体" w:hAnsi="楷体" w:eastAsia="楷体"/>
          <w:color w:val="auto"/>
          <w:sz w:val="28"/>
          <w:szCs w:val="28"/>
        </w:rPr>
      </w:pPr>
      <w:r>
        <w:rPr>
          <w:rFonts w:hint="eastAsia" w:ascii="楷体" w:hAnsi="楷体" w:eastAsia="楷体"/>
          <w:color w:val="auto"/>
          <w:sz w:val="28"/>
          <w:szCs w:val="28"/>
        </w:rPr>
        <w:t>年   月   日</w:t>
      </w:r>
    </w:p>
    <w:p>
      <w:pPr>
        <w:pStyle w:val="2"/>
        <w:spacing w:line="540" w:lineRule="exact"/>
        <w:rPr>
          <w:rFonts w:ascii="Times New Roman" w:hAnsi="Times New Roman" w:eastAsia="宋体"/>
          <w:b w:val="0"/>
          <w:bCs w:val="0"/>
          <w:color w:val="auto"/>
          <w:kern w:val="2"/>
          <w:sz w:val="21"/>
          <w:szCs w:val="24"/>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widowControl/>
        <w:kinsoku w:val="0"/>
        <w:overflowPunct w:val="0"/>
        <w:spacing w:before="50" w:line="500" w:lineRule="exact"/>
        <w:ind w:left="1"/>
        <w:jc w:val="center"/>
        <w:rPr>
          <w:rFonts w:ascii="黑体" w:hAnsi="黑体" w:eastAsia="黑体"/>
          <w:color w:val="auto"/>
          <w:sz w:val="44"/>
          <w:szCs w:val="44"/>
        </w:rPr>
      </w:pPr>
    </w:p>
    <w:p>
      <w:pPr>
        <w:widowControl/>
        <w:kinsoku w:val="0"/>
        <w:overflowPunct w:val="0"/>
        <w:spacing w:before="50" w:line="500" w:lineRule="exact"/>
        <w:ind w:left="1"/>
        <w:jc w:val="center"/>
        <w:rPr>
          <w:rFonts w:ascii="黑体" w:hAnsi="黑体" w:eastAsia="黑体"/>
          <w:color w:val="auto"/>
          <w:sz w:val="44"/>
          <w:szCs w:val="44"/>
        </w:rPr>
      </w:pPr>
    </w:p>
    <w:p>
      <w:pPr>
        <w:widowControl/>
        <w:kinsoku w:val="0"/>
        <w:overflowPunct w:val="0"/>
        <w:spacing w:before="50" w:line="500" w:lineRule="exact"/>
        <w:ind w:left="1"/>
        <w:jc w:val="center"/>
        <w:rPr>
          <w:rFonts w:ascii="黑体" w:hAnsi="黑体" w:eastAsia="黑体"/>
          <w:color w:val="auto"/>
          <w:sz w:val="44"/>
          <w:szCs w:val="44"/>
        </w:rPr>
      </w:pPr>
      <w:r>
        <w:rPr>
          <w:rFonts w:hint="eastAsia" w:ascii="黑体" w:hAnsi="黑体" w:eastAsia="黑体"/>
          <w:color w:val="auto"/>
          <w:sz w:val="44"/>
          <w:szCs w:val="44"/>
        </w:rPr>
        <w:t>可提供增值服务证明</w:t>
      </w:r>
    </w:p>
    <w:p>
      <w:pPr>
        <w:pStyle w:val="4"/>
        <w:spacing w:line="500" w:lineRule="exact"/>
        <w:rPr>
          <w:rFonts w:ascii="楷体" w:hAnsi="楷体" w:eastAsia="楷体"/>
          <w:b/>
          <w:color w:val="auto"/>
          <w:szCs w:val="28"/>
        </w:rPr>
      </w:pPr>
    </w:p>
    <w:p>
      <w:pPr>
        <w:pStyle w:val="4"/>
        <w:spacing w:line="500" w:lineRule="exact"/>
        <w:rPr>
          <w:rFonts w:ascii="楷体" w:hAnsi="楷体" w:eastAsia="楷体"/>
          <w:color w:val="auto"/>
          <w:szCs w:val="28"/>
        </w:rPr>
      </w:pPr>
      <w:r>
        <w:rPr>
          <w:rFonts w:hint="eastAsia" w:ascii="楷体" w:hAnsi="楷体" w:eastAsia="楷体"/>
          <w:color w:val="auto"/>
          <w:szCs w:val="28"/>
        </w:rPr>
        <w:t>（内容自定。如有第三方服务，要求提供第三方资格证明，并提供投标人与第三方相关签订的相关意向书。）</w:t>
      </w:r>
    </w:p>
    <w:p>
      <w:pPr>
        <w:pStyle w:val="2"/>
        <w:spacing w:line="540" w:lineRule="exact"/>
        <w:rPr>
          <w:rFonts w:ascii="楷体" w:hAnsi="楷体" w:eastAsia="楷体"/>
          <w:b w:val="0"/>
          <w:color w:val="auto"/>
          <w:sz w:val="28"/>
          <w:szCs w:val="28"/>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widowControl/>
        <w:kinsoku w:val="0"/>
        <w:overflowPunct w:val="0"/>
        <w:spacing w:before="50" w:line="500" w:lineRule="exact"/>
        <w:ind w:left="1"/>
        <w:jc w:val="center"/>
        <w:rPr>
          <w:rFonts w:ascii="黑体" w:hAnsi="黑体" w:eastAsia="黑体"/>
          <w:color w:val="auto"/>
          <w:sz w:val="44"/>
          <w:szCs w:val="44"/>
        </w:rPr>
      </w:pPr>
      <w:r>
        <w:rPr>
          <w:rFonts w:ascii="黑体" w:hAnsi="黑体" w:eastAsia="黑体"/>
          <w:color w:val="auto"/>
          <w:sz w:val="44"/>
          <w:szCs w:val="44"/>
        </w:rPr>
        <w:t>投标报价表</w:t>
      </w:r>
    </w:p>
    <w:p>
      <w:pPr>
        <w:widowControl/>
        <w:tabs>
          <w:tab w:val="left" w:pos="1188"/>
        </w:tabs>
        <w:kinsoku w:val="0"/>
        <w:overflowPunct w:val="0"/>
        <w:spacing w:before="131" w:line="500" w:lineRule="exact"/>
        <w:ind w:right="440"/>
        <w:jc w:val="left"/>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表一：</w:t>
      </w:r>
      <w:r>
        <w:rPr>
          <w:rFonts w:cs="宋体" w:asciiTheme="minorEastAsia" w:hAnsiTheme="minorEastAsia" w:eastAsiaTheme="minorEastAsia"/>
          <w:color w:val="auto"/>
          <w:sz w:val="22"/>
          <w:szCs w:val="22"/>
        </w:rPr>
        <w:t xml:space="preserve">                        </w:t>
      </w:r>
      <w:r>
        <w:rPr>
          <w:rFonts w:hint="eastAsia" w:cs="宋体" w:asciiTheme="minorEastAsia" w:hAnsiTheme="minorEastAsia" w:eastAsiaTheme="minorEastAsia"/>
          <w:color w:val="auto"/>
          <w:sz w:val="22"/>
          <w:szCs w:val="22"/>
        </w:rPr>
        <w:t>报价单位：人民币元</w:t>
      </w:r>
      <w:r>
        <w:rPr>
          <w:rFonts w:cs="宋体" w:asciiTheme="minorEastAsia" w:hAnsiTheme="minorEastAsia" w:eastAsiaTheme="minorEastAsia"/>
          <w:color w:val="auto"/>
          <w:sz w:val="22"/>
          <w:szCs w:val="22"/>
        </w:rPr>
        <w:t>/kw.h（含</w:t>
      </w:r>
      <w:r>
        <w:rPr>
          <w:rFonts w:hint="eastAsia" w:cs="宋体" w:asciiTheme="minorEastAsia" w:hAnsiTheme="minorEastAsia" w:eastAsiaTheme="minorEastAsia"/>
          <w:color w:val="auto"/>
          <w:sz w:val="22"/>
          <w:szCs w:val="22"/>
          <w:u w:val="single"/>
          <w:lang w:eastAsia="zh-CN"/>
        </w:rPr>
        <w:t xml:space="preserve"> </w:t>
      </w:r>
      <w:r>
        <w:rPr>
          <w:rFonts w:hint="eastAsia" w:cs="宋体" w:asciiTheme="minorEastAsia" w:hAnsiTheme="minorEastAsia" w:eastAsiaTheme="minorEastAsia"/>
          <w:color w:val="auto"/>
          <w:sz w:val="22"/>
          <w:szCs w:val="22"/>
          <w:u w:val="single"/>
          <w:lang w:val="en-US" w:eastAsia="zh-CN"/>
        </w:rPr>
        <w:t xml:space="preserve"> </w:t>
      </w:r>
      <w:r>
        <w:rPr>
          <w:rFonts w:cs="宋体" w:asciiTheme="minorEastAsia" w:hAnsiTheme="minorEastAsia" w:eastAsiaTheme="minorEastAsia"/>
          <w:color w:val="auto"/>
          <w:sz w:val="22"/>
          <w:szCs w:val="22"/>
        </w:rPr>
        <w:t>%</w:t>
      </w:r>
      <w:r>
        <w:rPr>
          <w:rFonts w:hint="eastAsia" w:cs="宋体" w:asciiTheme="minorEastAsia" w:hAnsiTheme="minorEastAsia" w:eastAsiaTheme="minorEastAsia"/>
          <w:color w:val="auto"/>
          <w:sz w:val="22"/>
          <w:szCs w:val="22"/>
        </w:rPr>
        <w:t>全额增值税）</w:t>
      </w:r>
    </w:p>
    <w:tbl>
      <w:tblPr>
        <w:tblStyle w:val="9"/>
        <w:tblW w:w="843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73"/>
        <w:gridCol w:w="1289"/>
        <w:gridCol w:w="1432"/>
        <w:gridCol w:w="1670"/>
        <w:gridCol w:w="247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73" w:type="dxa"/>
            <w:vAlign w:val="center"/>
          </w:tcPr>
          <w:p>
            <w:pPr>
              <w:widowControl/>
              <w:kinsoku w:val="0"/>
              <w:overflowPunct w:val="0"/>
              <w:spacing w:line="500" w:lineRule="exact"/>
              <w:jc w:val="center"/>
              <w:rPr>
                <w:rFonts w:asciiTheme="minorHAnsi" w:hAnsiTheme="minorHAnsi" w:eastAsiaTheme="minorEastAsia" w:cstheme="minorBidi"/>
                <w:color w:val="auto"/>
                <w:sz w:val="22"/>
                <w:szCs w:val="22"/>
              </w:rPr>
            </w:pPr>
            <w:r>
              <w:rPr>
                <w:rFonts w:hint="eastAsia" w:cs="宋体" w:asciiTheme="minorEastAsia" w:hAnsiTheme="minorEastAsia" w:eastAsiaTheme="minorEastAsia"/>
                <w:color w:val="auto"/>
                <w:sz w:val="22"/>
                <w:szCs w:val="22"/>
              </w:rPr>
              <w:t>电压</w:t>
            </w:r>
          </w:p>
          <w:p>
            <w:pPr>
              <w:widowControl/>
              <w:kinsoku w:val="0"/>
              <w:overflowPunct w:val="0"/>
              <w:spacing w:line="500" w:lineRule="exact"/>
              <w:jc w:val="center"/>
              <w:rPr>
                <w:rFonts w:asciiTheme="minorHAnsi" w:hAnsiTheme="minorHAnsi" w:eastAsiaTheme="minorEastAsia" w:cstheme="minorBidi"/>
                <w:color w:val="auto"/>
                <w:sz w:val="22"/>
                <w:szCs w:val="22"/>
              </w:rPr>
            </w:pPr>
            <w:r>
              <w:rPr>
                <w:rFonts w:hint="eastAsia" w:cs="宋体" w:asciiTheme="minorEastAsia" w:hAnsiTheme="minorEastAsia" w:eastAsiaTheme="minorEastAsia"/>
                <w:color w:val="auto"/>
                <w:sz w:val="22"/>
                <w:szCs w:val="22"/>
              </w:rPr>
              <w:t>等级</w:t>
            </w:r>
          </w:p>
        </w:tc>
        <w:tc>
          <w:tcPr>
            <w:tcW w:w="1289" w:type="dxa"/>
            <w:vAlign w:val="center"/>
          </w:tcPr>
          <w:p>
            <w:pPr>
              <w:widowControl/>
              <w:kinsoku w:val="0"/>
              <w:overflowPunct w:val="0"/>
              <w:spacing w:line="500" w:lineRule="exact"/>
              <w:jc w:val="center"/>
              <w:rPr>
                <w:rFonts w:asciiTheme="minorHAnsi" w:hAnsiTheme="minorHAnsi" w:eastAsiaTheme="minorEastAsia" w:cstheme="minorBidi"/>
                <w:color w:val="auto"/>
                <w:sz w:val="22"/>
                <w:szCs w:val="22"/>
              </w:rPr>
            </w:pPr>
            <w:r>
              <w:rPr>
                <w:rFonts w:hint="eastAsia" w:cs="宋体" w:asciiTheme="minorEastAsia" w:hAnsiTheme="minorEastAsia" w:eastAsiaTheme="minorEastAsia"/>
                <w:color w:val="auto"/>
                <w:sz w:val="22"/>
                <w:szCs w:val="22"/>
              </w:rPr>
              <w:t>政府性基金及附加</w:t>
            </w:r>
          </w:p>
        </w:tc>
        <w:tc>
          <w:tcPr>
            <w:tcW w:w="1432" w:type="dxa"/>
            <w:vAlign w:val="center"/>
          </w:tcPr>
          <w:p>
            <w:pPr>
              <w:widowControl/>
              <w:kinsoku w:val="0"/>
              <w:overflowPunct w:val="0"/>
              <w:spacing w:line="500" w:lineRule="exact"/>
              <w:jc w:val="center"/>
              <w:rPr>
                <w:rFonts w:asciiTheme="minorHAnsi" w:hAnsiTheme="minorHAnsi" w:eastAsiaTheme="minorEastAsia" w:cstheme="minorBidi"/>
                <w:color w:val="auto"/>
                <w:sz w:val="22"/>
                <w:szCs w:val="22"/>
              </w:rPr>
            </w:pPr>
            <w:r>
              <w:rPr>
                <w:rFonts w:hint="eastAsia" w:cs="宋体" w:asciiTheme="minorEastAsia" w:hAnsiTheme="minorEastAsia" w:eastAsiaTheme="minorEastAsia"/>
                <w:color w:val="auto"/>
                <w:sz w:val="22"/>
                <w:szCs w:val="22"/>
              </w:rPr>
              <w:t>输配</w:t>
            </w:r>
          </w:p>
          <w:p>
            <w:pPr>
              <w:widowControl/>
              <w:kinsoku w:val="0"/>
              <w:overflowPunct w:val="0"/>
              <w:spacing w:line="500" w:lineRule="exact"/>
              <w:jc w:val="center"/>
              <w:rPr>
                <w:rFonts w:asciiTheme="minorHAnsi" w:hAnsiTheme="minorHAnsi" w:eastAsiaTheme="minorEastAsia" w:cstheme="minorBidi"/>
                <w:color w:val="auto"/>
                <w:sz w:val="22"/>
                <w:szCs w:val="22"/>
              </w:rPr>
            </w:pPr>
            <w:r>
              <w:rPr>
                <w:rFonts w:hint="eastAsia" w:cs="宋体" w:asciiTheme="minorEastAsia" w:hAnsiTheme="minorEastAsia" w:eastAsiaTheme="minorEastAsia"/>
                <w:color w:val="auto"/>
                <w:sz w:val="22"/>
                <w:szCs w:val="22"/>
              </w:rPr>
              <w:t>电价</w:t>
            </w:r>
          </w:p>
        </w:tc>
        <w:tc>
          <w:tcPr>
            <w:tcW w:w="1670" w:type="dxa"/>
            <w:vAlign w:val="center"/>
          </w:tcPr>
          <w:p>
            <w:pPr>
              <w:widowControl/>
              <w:kinsoku w:val="0"/>
              <w:overflowPunct w:val="0"/>
              <w:spacing w:line="500" w:lineRule="exact"/>
              <w:jc w:val="center"/>
              <w:rPr>
                <w:rFonts w:asciiTheme="minorHAnsi" w:hAnsiTheme="minorHAnsi" w:eastAsiaTheme="minorEastAsia" w:cstheme="minorBidi"/>
                <w:color w:val="auto"/>
                <w:sz w:val="22"/>
                <w:szCs w:val="22"/>
              </w:rPr>
            </w:pPr>
            <w:r>
              <w:rPr>
                <w:rFonts w:hint="eastAsia" w:cs="宋体" w:asciiTheme="minorEastAsia" w:hAnsiTheme="minorEastAsia" w:eastAsiaTheme="minorEastAsia"/>
                <w:color w:val="auto"/>
                <w:sz w:val="22"/>
                <w:szCs w:val="22"/>
                <w:lang w:eastAsia="zh-CN"/>
              </w:rPr>
              <w:t>现行</w:t>
            </w:r>
            <w:r>
              <w:rPr>
                <w:rFonts w:hint="eastAsia" w:cs="宋体" w:asciiTheme="minorEastAsia" w:hAnsiTheme="minorEastAsia" w:eastAsiaTheme="minorEastAsia"/>
                <w:color w:val="auto"/>
                <w:sz w:val="22"/>
                <w:szCs w:val="22"/>
              </w:rPr>
              <w:t>分时段平段</w:t>
            </w:r>
            <w:r>
              <w:rPr>
                <w:rFonts w:hint="eastAsia" w:cs="宋体" w:asciiTheme="minorEastAsia" w:hAnsiTheme="minorEastAsia" w:eastAsiaTheme="minorEastAsia"/>
                <w:color w:val="auto"/>
                <w:sz w:val="22"/>
                <w:szCs w:val="22"/>
              </w:rPr>
              <w:t>电价</w:t>
            </w:r>
          </w:p>
        </w:tc>
        <w:tc>
          <w:tcPr>
            <w:tcW w:w="2471" w:type="dxa"/>
            <w:vAlign w:val="center"/>
          </w:tcPr>
          <w:p>
            <w:pPr>
              <w:widowControl/>
              <w:kinsoku w:val="0"/>
              <w:overflowPunct w:val="0"/>
              <w:spacing w:line="500" w:lineRule="exact"/>
              <w:jc w:val="center"/>
              <w:rPr>
                <w:rFonts w:hint="eastAsia"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最终落地分时段平段电度电价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73" w:type="dxa"/>
            <w:vAlign w:val="center"/>
          </w:tcPr>
          <w:p>
            <w:pPr>
              <w:widowControl/>
              <w:kinsoku w:val="0"/>
              <w:overflowPunct w:val="0"/>
              <w:spacing w:line="500" w:lineRule="exact"/>
              <w:jc w:val="center"/>
              <w:rPr>
                <w:rFonts w:asciiTheme="minorHAnsi" w:hAnsiTheme="minorHAnsi" w:eastAsiaTheme="minorEastAsia" w:cstheme="minorBidi"/>
                <w:color w:val="auto"/>
                <w:sz w:val="22"/>
                <w:szCs w:val="22"/>
              </w:rPr>
            </w:pPr>
            <w:r>
              <w:rPr>
                <w:rFonts w:hint="eastAsia" w:cs="宋体" w:asciiTheme="minorEastAsia" w:hAnsiTheme="minorEastAsia" w:eastAsiaTheme="minorEastAsia"/>
                <w:color w:val="auto"/>
                <w:sz w:val="22"/>
                <w:szCs w:val="22"/>
              </w:rPr>
              <w:t>定义</w:t>
            </w:r>
          </w:p>
        </w:tc>
        <w:tc>
          <w:tcPr>
            <w:tcW w:w="1289" w:type="dxa"/>
            <w:vAlign w:val="center"/>
          </w:tcPr>
          <w:p>
            <w:pPr>
              <w:widowControl/>
              <w:kinsoku w:val="0"/>
              <w:overflowPunct w:val="0"/>
              <w:spacing w:line="500" w:lineRule="exact"/>
              <w:jc w:val="center"/>
              <w:rPr>
                <w:rFonts w:asciiTheme="minorHAnsi" w:hAnsiTheme="minorHAnsi" w:eastAsiaTheme="minorEastAsia" w:cstheme="minorBidi"/>
                <w:color w:val="auto"/>
                <w:sz w:val="22"/>
                <w:szCs w:val="22"/>
              </w:rPr>
            </w:pPr>
            <w:r>
              <w:rPr>
                <w:rFonts w:cs="宋体" w:asciiTheme="minorEastAsia" w:hAnsiTheme="minorEastAsia" w:eastAsiaTheme="minorEastAsia"/>
                <w:color w:val="auto"/>
                <w:sz w:val="22"/>
                <w:szCs w:val="22"/>
              </w:rPr>
              <w:t>(B)</w:t>
            </w:r>
          </w:p>
        </w:tc>
        <w:tc>
          <w:tcPr>
            <w:tcW w:w="1432" w:type="dxa"/>
            <w:vAlign w:val="center"/>
          </w:tcPr>
          <w:p>
            <w:pPr>
              <w:widowControl/>
              <w:kinsoku w:val="0"/>
              <w:overflowPunct w:val="0"/>
              <w:spacing w:line="500" w:lineRule="exact"/>
              <w:jc w:val="center"/>
              <w:rPr>
                <w:rFonts w:asciiTheme="minorHAnsi" w:hAnsiTheme="minorHAnsi" w:eastAsiaTheme="minorEastAsia" w:cstheme="minorBidi"/>
                <w:color w:val="auto"/>
                <w:sz w:val="22"/>
                <w:szCs w:val="22"/>
              </w:rPr>
            </w:pPr>
            <w:r>
              <w:rPr>
                <w:rFonts w:cs="宋体" w:asciiTheme="minorEastAsia" w:hAnsiTheme="minorEastAsia" w:eastAsiaTheme="minorEastAsia"/>
                <w:color w:val="auto"/>
                <w:sz w:val="22"/>
                <w:szCs w:val="22"/>
              </w:rPr>
              <w:t>(C)</w:t>
            </w:r>
          </w:p>
        </w:tc>
        <w:tc>
          <w:tcPr>
            <w:tcW w:w="1670" w:type="dxa"/>
            <w:tcBorders>
              <w:right w:val="single" w:color="auto" w:sz="4" w:space="0"/>
            </w:tcBorders>
            <w:vAlign w:val="center"/>
          </w:tcPr>
          <w:p>
            <w:pPr>
              <w:widowControl/>
              <w:kinsoku w:val="0"/>
              <w:overflowPunct w:val="0"/>
              <w:spacing w:line="500" w:lineRule="exact"/>
              <w:jc w:val="center"/>
              <w:rPr>
                <w:rFonts w:hint="default" w:cs="宋体" w:asciiTheme="minorEastAsia" w:hAnsiTheme="minorEastAsia" w:eastAsiaTheme="minorEastAsia"/>
                <w:color w:val="auto"/>
                <w:sz w:val="22"/>
                <w:szCs w:val="22"/>
              </w:rPr>
            </w:pPr>
            <w:r>
              <w:rPr>
                <w:rFonts w:cs="宋体" w:asciiTheme="minorEastAsia" w:hAnsiTheme="minorEastAsia" w:eastAsiaTheme="minorEastAsia"/>
                <w:color w:val="auto"/>
                <w:sz w:val="22"/>
                <w:szCs w:val="22"/>
              </w:rPr>
              <w:t>(D)</w:t>
            </w:r>
          </w:p>
        </w:tc>
        <w:tc>
          <w:tcPr>
            <w:tcW w:w="2471" w:type="dxa"/>
            <w:tcBorders>
              <w:right w:val="single" w:color="auto" w:sz="4" w:space="0"/>
            </w:tcBorders>
            <w:vAlign w:val="center"/>
          </w:tcPr>
          <w:p>
            <w:pPr>
              <w:widowControl/>
              <w:kinsoku w:val="0"/>
              <w:overflowPunct w:val="0"/>
              <w:spacing w:line="500" w:lineRule="exact"/>
              <w:jc w:val="center"/>
              <w:rPr>
                <w:rFonts w:hint="default" w:cs="宋体" w:asciiTheme="minorEastAsia" w:hAnsiTheme="minorEastAsia" w:eastAsiaTheme="minorEastAsia"/>
                <w:color w:val="auto"/>
                <w:sz w:val="22"/>
                <w:szCs w:val="22"/>
                <w:lang w:val="en-US" w:eastAsia="zh-CN"/>
              </w:rPr>
            </w:pPr>
            <w:r>
              <w:rPr>
                <w:rFonts w:cs="宋体" w:asciiTheme="minorEastAsia" w:hAnsiTheme="minorEastAsia" w:eastAsiaTheme="minorEastAsia"/>
                <w:color w:val="auto"/>
                <w:sz w:val="22"/>
                <w:szCs w:val="22"/>
              </w:rPr>
              <w:t>A=B+C+D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73" w:type="dxa"/>
            <w:vAlign w:val="center"/>
          </w:tcPr>
          <w:p>
            <w:pPr>
              <w:widowControl/>
              <w:kinsoku w:val="0"/>
              <w:overflowPunct w:val="0"/>
              <w:spacing w:line="500" w:lineRule="exact"/>
              <w:jc w:val="center"/>
              <w:rPr>
                <w:rFonts w:asciiTheme="minorHAnsi" w:hAnsiTheme="minorHAnsi" w:eastAsiaTheme="minorEastAsia" w:cstheme="minorBidi"/>
                <w:color w:val="auto"/>
                <w:sz w:val="22"/>
                <w:szCs w:val="22"/>
              </w:rPr>
            </w:pPr>
            <w:r>
              <w:rPr>
                <w:rFonts w:cs="宋体" w:asciiTheme="minorEastAsia" w:hAnsiTheme="minorEastAsia" w:eastAsiaTheme="minorEastAsia"/>
                <w:color w:val="auto"/>
                <w:sz w:val="22"/>
                <w:szCs w:val="22"/>
              </w:rPr>
              <w:t>10</w:t>
            </w:r>
            <w:r>
              <w:rPr>
                <w:rFonts w:hint="eastAsia" w:cs="宋体" w:asciiTheme="minorEastAsia" w:hAnsiTheme="minorEastAsia" w:eastAsiaTheme="minorEastAsia"/>
                <w:color w:val="auto"/>
                <w:sz w:val="22"/>
                <w:szCs w:val="22"/>
              </w:rPr>
              <w:t>千伏</w:t>
            </w:r>
          </w:p>
        </w:tc>
        <w:tc>
          <w:tcPr>
            <w:tcW w:w="1289" w:type="dxa"/>
            <w:vAlign w:val="center"/>
          </w:tcPr>
          <w:p>
            <w:pPr>
              <w:widowControl/>
              <w:kinsoku w:val="0"/>
              <w:overflowPunct w:val="0"/>
              <w:spacing w:line="500" w:lineRule="exact"/>
              <w:jc w:val="center"/>
              <w:rPr>
                <w:rFonts w:asciiTheme="minorHAnsi" w:hAnsiTheme="minorHAnsi" w:eastAsiaTheme="minorEastAsia" w:cstheme="minorBidi"/>
                <w:color w:val="auto"/>
                <w:sz w:val="22"/>
                <w:szCs w:val="22"/>
              </w:rPr>
            </w:pPr>
          </w:p>
        </w:tc>
        <w:tc>
          <w:tcPr>
            <w:tcW w:w="1432" w:type="dxa"/>
            <w:vAlign w:val="center"/>
          </w:tcPr>
          <w:p>
            <w:pPr>
              <w:widowControl/>
              <w:kinsoku w:val="0"/>
              <w:overflowPunct w:val="0"/>
              <w:spacing w:line="500" w:lineRule="exact"/>
              <w:jc w:val="center"/>
              <w:rPr>
                <w:rFonts w:asciiTheme="minorHAnsi" w:hAnsiTheme="minorHAnsi" w:eastAsiaTheme="minorEastAsia" w:cstheme="minorBidi"/>
                <w:color w:val="auto"/>
                <w:sz w:val="22"/>
                <w:szCs w:val="22"/>
              </w:rPr>
            </w:pPr>
          </w:p>
        </w:tc>
        <w:tc>
          <w:tcPr>
            <w:tcW w:w="1670" w:type="dxa"/>
            <w:tcBorders>
              <w:right w:val="single" w:color="auto" w:sz="4" w:space="0"/>
            </w:tcBorders>
            <w:vAlign w:val="center"/>
          </w:tcPr>
          <w:p>
            <w:pPr>
              <w:widowControl/>
              <w:kinsoku w:val="0"/>
              <w:overflowPunct w:val="0"/>
              <w:spacing w:line="500" w:lineRule="exact"/>
              <w:jc w:val="center"/>
              <w:rPr>
                <w:rFonts w:asciiTheme="minorHAnsi" w:hAnsiTheme="minorHAnsi" w:eastAsiaTheme="minorEastAsia" w:cstheme="minorBidi"/>
                <w:color w:val="auto"/>
                <w:sz w:val="22"/>
                <w:szCs w:val="22"/>
              </w:rPr>
            </w:pPr>
          </w:p>
        </w:tc>
        <w:tc>
          <w:tcPr>
            <w:tcW w:w="2471" w:type="dxa"/>
            <w:tcBorders>
              <w:right w:val="single" w:color="auto" w:sz="4" w:space="0"/>
            </w:tcBorders>
            <w:vAlign w:val="center"/>
          </w:tcPr>
          <w:p>
            <w:pPr>
              <w:widowControl/>
              <w:kinsoku w:val="0"/>
              <w:overflowPunct w:val="0"/>
              <w:spacing w:line="500" w:lineRule="exact"/>
              <w:jc w:val="center"/>
              <w:rPr>
                <w:rFonts w:asciiTheme="minorHAnsi" w:hAnsiTheme="minorHAnsi" w:eastAsiaTheme="minorEastAsia" w:cstheme="minorBidi"/>
                <w:color w:val="auto"/>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435" w:type="dxa"/>
            <w:gridSpan w:val="5"/>
            <w:tcBorders>
              <w:right w:val="single" w:color="auto" w:sz="4" w:space="0"/>
            </w:tcBorders>
          </w:tcPr>
          <w:p>
            <w:pPr>
              <w:spacing w:line="500" w:lineRule="exact"/>
              <w:rPr>
                <w:rFonts w:asciiTheme="minorEastAsia" w:hAnsiTheme="minorEastAsia" w:eastAsiaTheme="minorEastAsia" w:cstheme="minorBidi"/>
                <w:color w:val="auto"/>
                <w:sz w:val="22"/>
                <w:szCs w:val="22"/>
              </w:rPr>
            </w:pPr>
            <w:r>
              <w:rPr>
                <w:rFonts w:hint="eastAsia" w:asciiTheme="minorEastAsia" w:hAnsiTheme="minorEastAsia" w:eastAsiaTheme="minorEastAsia" w:cstheme="minorBidi"/>
                <w:color w:val="auto"/>
                <w:sz w:val="22"/>
                <w:szCs w:val="22"/>
              </w:rPr>
              <w:t>注：</w:t>
            </w:r>
            <w:r>
              <w:rPr>
                <w:rFonts w:asciiTheme="minorEastAsia" w:hAnsiTheme="minorEastAsia" w:eastAsiaTheme="minorEastAsia" w:cstheme="minorBidi"/>
                <w:color w:val="auto"/>
                <w:sz w:val="22"/>
                <w:szCs w:val="22"/>
              </w:rPr>
              <w:t>1、输配电费、政府基金及附加</w:t>
            </w:r>
            <w:r>
              <w:rPr>
                <w:rFonts w:hint="eastAsia" w:asciiTheme="minorEastAsia" w:hAnsiTheme="minorEastAsia" w:eastAsiaTheme="minorEastAsia" w:cstheme="minorBidi"/>
                <w:color w:val="auto"/>
                <w:sz w:val="22"/>
                <w:szCs w:val="22"/>
                <w:lang w:eastAsia="zh-CN"/>
              </w:rPr>
              <w:t>等</w:t>
            </w:r>
            <w:r>
              <w:rPr>
                <w:rFonts w:asciiTheme="minorEastAsia" w:hAnsiTheme="minorEastAsia" w:eastAsiaTheme="minorEastAsia" w:cstheme="minorBidi"/>
                <w:color w:val="auto"/>
                <w:sz w:val="22"/>
                <w:szCs w:val="22"/>
              </w:rPr>
              <w:t>按政府现行文件执行。</w:t>
            </w:r>
            <w:r>
              <w:rPr>
                <w:rFonts w:asciiTheme="minorEastAsia" w:hAnsiTheme="minorEastAsia" w:eastAsiaTheme="minorEastAsia" w:cstheme="minorBidi"/>
                <w:color w:val="auto"/>
                <w:sz w:val="22"/>
                <w:szCs w:val="22"/>
              </w:rPr>
              <w:br w:type="textWrapping"/>
            </w:r>
            <w:r>
              <w:rPr>
                <w:rFonts w:asciiTheme="minorEastAsia" w:hAnsiTheme="minorEastAsia" w:eastAsiaTheme="minorEastAsia" w:cstheme="minorBidi"/>
                <w:color w:val="auto"/>
                <w:sz w:val="22"/>
                <w:szCs w:val="22"/>
              </w:rPr>
              <w:t xml:space="preserve">    2、用户最终落地价格不含变压器基本容量电费。</w:t>
            </w:r>
          </w:p>
          <w:p>
            <w:pPr>
              <w:numPr>
                <w:ilvl w:val="0"/>
                <w:numId w:val="1"/>
              </w:numPr>
              <w:spacing w:line="500" w:lineRule="exact"/>
              <w:ind w:left="440"/>
              <w:rPr>
                <w:rFonts w:hint="eastAsia" w:asciiTheme="minorEastAsia" w:hAnsiTheme="minorEastAsia" w:eastAsiaTheme="minorEastAsia" w:cstheme="minorBidi"/>
                <w:color w:val="auto"/>
                <w:sz w:val="22"/>
                <w:szCs w:val="22"/>
              </w:rPr>
            </w:pPr>
            <w:r>
              <w:rPr>
                <w:rFonts w:hint="eastAsia" w:asciiTheme="minorEastAsia" w:hAnsiTheme="minorEastAsia" w:eastAsiaTheme="minorEastAsia" w:cstheme="minorBidi"/>
                <w:color w:val="auto"/>
                <w:sz w:val="22"/>
                <w:szCs w:val="22"/>
              </w:rPr>
              <w:t>其余分时段电价按照</w:t>
            </w:r>
            <w:r>
              <w:rPr>
                <w:rFonts w:asciiTheme="minorEastAsia" w:hAnsiTheme="minorEastAsia" w:eastAsiaTheme="minorEastAsia" w:cstheme="minorBidi"/>
                <w:color w:val="auto"/>
                <w:sz w:val="22"/>
                <w:szCs w:val="22"/>
              </w:rPr>
              <w:t>政府现行文件</w:t>
            </w:r>
            <w:r>
              <w:rPr>
                <w:rFonts w:hint="eastAsia" w:asciiTheme="minorEastAsia" w:hAnsiTheme="minorEastAsia" w:eastAsiaTheme="minorEastAsia" w:cstheme="minorBidi"/>
                <w:color w:val="auto"/>
                <w:sz w:val="22"/>
                <w:szCs w:val="22"/>
                <w:lang w:eastAsia="zh-CN"/>
              </w:rPr>
              <w:t>确定的电价系数</w:t>
            </w:r>
            <w:r>
              <w:rPr>
                <w:rFonts w:asciiTheme="minorEastAsia" w:hAnsiTheme="minorEastAsia" w:eastAsiaTheme="minorEastAsia" w:cstheme="minorBidi"/>
                <w:color w:val="auto"/>
                <w:sz w:val="22"/>
                <w:szCs w:val="22"/>
              </w:rPr>
              <w:t>执行</w:t>
            </w:r>
            <w:r>
              <w:rPr>
                <w:rFonts w:hint="eastAsia" w:asciiTheme="minorEastAsia" w:hAnsiTheme="minorEastAsia" w:eastAsiaTheme="minorEastAsia" w:cstheme="minorBidi"/>
                <w:color w:val="auto"/>
                <w:sz w:val="22"/>
                <w:szCs w:val="22"/>
              </w:rPr>
              <w:t>。</w:t>
            </w:r>
          </w:p>
          <w:p>
            <w:pPr>
              <w:numPr>
                <w:ilvl w:val="0"/>
                <w:numId w:val="1"/>
              </w:numPr>
              <w:spacing w:line="500" w:lineRule="exact"/>
              <w:ind w:left="440"/>
              <w:rPr>
                <w:rFonts w:hint="eastAsia" w:asciiTheme="minorEastAsia" w:hAnsiTheme="minorEastAsia" w:eastAsiaTheme="minorEastAsia" w:cstheme="minorBidi"/>
                <w:color w:val="auto"/>
                <w:sz w:val="22"/>
                <w:szCs w:val="22"/>
              </w:rPr>
            </w:pPr>
            <w:r>
              <w:rPr>
                <w:rFonts w:hint="eastAsia" w:asciiTheme="minorEastAsia" w:hAnsiTheme="minorEastAsia" w:eastAsiaTheme="minorEastAsia" w:cstheme="minorBidi"/>
                <w:color w:val="auto"/>
                <w:sz w:val="22"/>
                <w:szCs w:val="22"/>
                <w:lang w:eastAsia="zh-CN"/>
              </w:rPr>
              <w:t>如遇政府政策文件调整，以调整后的政策为准。</w:t>
            </w:r>
          </w:p>
        </w:tc>
      </w:tr>
    </w:tbl>
    <w:p>
      <w:pPr>
        <w:pStyle w:val="94"/>
        <w:widowControl/>
        <w:tabs>
          <w:tab w:val="left" w:pos="1188"/>
        </w:tabs>
        <w:kinsoku w:val="0"/>
        <w:overflowPunct w:val="0"/>
        <w:spacing w:before="131" w:line="500" w:lineRule="exact"/>
        <w:ind w:left="1187" w:right="440" w:firstLine="440"/>
        <w:jc w:val="right"/>
        <w:rPr>
          <w:rFonts w:cs="宋体" w:asciiTheme="minorEastAsia" w:hAnsiTheme="minorEastAsia" w:eastAsiaTheme="minorEastAsia"/>
          <w:color w:val="auto"/>
          <w:sz w:val="22"/>
          <w:szCs w:val="22"/>
        </w:rPr>
      </w:pPr>
    </w:p>
    <w:p>
      <w:pPr>
        <w:widowControl/>
        <w:tabs>
          <w:tab w:val="left" w:pos="1188"/>
        </w:tabs>
        <w:kinsoku w:val="0"/>
        <w:overflowPunct w:val="0"/>
        <w:spacing w:before="131" w:line="500" w:lineRule="exact"/>
        <w:ind w:right="550"/>
        <w:jc w:val="left"/>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表二：</w:t>
      </w:r>
      <w:r>
        <w:rPr>
          <w:rFonts w:cs="宋体" w:asciiTheme="minorEastAsia" w:hAnsiTheme="minorEastAsia" w:eastAsiaTheme="minorEastAsia"/>
          <w:color w:val="auto"/>
          <w:sz w:val="22"/>
          <w:szCs w:val="22"/>
        </w:rPr>
        <w:t xml:space="preserve">                       </w:t>
      </w:r>
      <w:r>
        <w:rPr>
          <w:rFonts w:hint="eastAsia" w:cs="宋体" w:asciiTheme="minorEastAsia" w:hAnsiTheme="minorEastAsia" w:eastAsiaTheme="minorEastAsia"/>
          <w:color w:val="auto"/>
          <w:sz w:val="22"/>
          <w:szCs w:val="22"/>
        </w:rPr>
        <w:t>报价单位：人民币元</w:t>
      </w:r>
      <w:r>
        <w:rPr>
          <w:rFonts w:cs="宋体" w:asciiTheme="minorEastAsia" w:hAnsiTheme="minorEastAsia" w:eastAsiaTheme="minorEastAsia"/>
          <w:color w:val="auto"/>
          <w:sz w:val="22"/>
          <w:szCs w:val="22"/>
        </w:rPr>
        <w:t>/kw.h（含</w:t>
      </w:r>
      <w:r>
        <w:rPr>
          <w:rFonts w:hint="eastAsia" w:cs="宋体" w:asciiTheme="minorEastAsia" w:hAnsiTheme="minorEastAsia" w:eastAsiaTheme="minorEastAsia"/>
          <w:color w:val="auto"/>
          <w:sz w:val="22"/>
          <w:szCs w:val="22"/>
          <w:u w:val="single"/>
          <w:lang w:eastAsia="zh-CN"/>
        </w:rPr>
        <w:t xml:space="preserve"> </w:t>
      </w:r>
      <w:r>
        <w:rPr>
          <w:rFonts w:hint="eastAsia" w:cs="宋体" w:asciiTheme="minorEastAsia" w:hAnsiTheme="minorEastAsia" w:eastAsiaTheme="minorEastAsia"/>
          <w:color w:val="auto"/>
          <w:sz w:val="22"/>
          <w:szCs w:val="22"/>
          <w:u w:val="single"/>
          <w:lang w:val="en-US" w:eastAsia="zh-CN"/>
        </w:rPr>
        <w:t xml:space="preserve"> </w:t>
      </w:r>
      <w:r>
        <w:rPr>
          <w:rFonts w:cs="宋体" w:asciiTheme="minorEastAsia" w:hAnsiTheme="minorEastAsia" w:eastAsiaTheme="minorEastAsia"/>
          <w:color w:val="auto"/>
          <w:sz w:val="22"/>
          <w:szCs w:val="22"/>
        </w:rPr>
        <w:t>%</w:t>
      </w:r>
      <w:r>
        <w:rPr>
          <w:rFonts w:hint="eastAsia" w:cs="宋体" w:asciiTheme="minorEastAsia" w:hAnsiTheme="minorEastAsia" w:eastAsiaTheme="minorEastAsia"/>
          <w:color w:val="auto"/>
          <w:sz w:val="22"/>
          <w:szCs w:val="22"/>
        </w:rPr>
        <w:t>全额增值税）</w:t>
      </w:r>
    </w:p>
    <w:tbl>
      <w:tblPr>
        <w:tblStyle w:val="9"/>
        <w:tblW w:w="84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71"/>
        <w:gridCol w:w="1289"/>
        <w:gridCol w:w="1415"/>
        <w:gridCol w:w="1692"/>
        <w:gridCol w:w="246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71" w:type="dxa"/>
            <w:vAlign w:val="center"/>
          </w:tcPr>
          <w:p>
            <w:pPr>
              <w:widowControl/>
              <w:kinsoku w:val="0"/>
              <w:overflowPunct w:val="0"/>
              <w:spacing w:line="500" w:lineRule="exact"/>
              <w:jc w:val="center"/>
              <w:rPr>
                <w:rFonts w:asciiTheme="minorHAnsi" w:hAnsiTheme="minorHAnsi" w:eastAsiaTheme="minorEastAsia" w:cstheme="minorBidi"/>
                <w:color w:val="auto"/>
                <w:sz w:val="22"/>
                <w:szCs w:val="22"/>
              </w:rPr>
            </w:pPr>
            <w:r>
              <w:rPr>
                <w:rFonts w:hint="eastAsia" w:cs="宋体" w:asciiTheme="minorEastAsia" w:hAnsiTheme="minorEastAsia" w:eastAsiaTheme="minorEastAsia"/>
                <w:color w:val="auto"/>
                <w:sz w:val="22"/>
                <w:szCs w:val="22"/>
              </w:rPr>
              <w:t>电压</w:t>
            </w:r>
          </w:p>
          <w:p>
            <w:pPr>
              <w:widowControl/>
              <w:kinsoku w:val="0"/>
              <w:overflowPunct w:val="0"/>
              <w:spacing w:line="500" w:lineRule="exact"/>
              <w:jc w:val="center"/>
              <w:rPr>
                <w:rFonts w:asciiTheme="minorHAnsi" w:hAnsiTheme="minorHAnsi" w:eastAsiaTheme="minorEastAsia" w:cstheme="minorBidi"/>
                <w:color w:val="auto"/>
                <w:sz w:val="22"/>
                <w:szCs w:val="22"/>
              </w:rPr>
            </w:pPr>
            <w:r>
              <w:rPr>
                <w:rFonts w:hint="eastAsia" w:cs="宋体" w:asciiTheme="minorEastAsia" w:hAnsiTheme="minorEastAsia" w:eastAsiaTheme="minorEastAsia"/>
                <w:color w:val="auto"/>
                <w:sz w:val="22"/>
                <w:szCs w:val="22"/>
              </w:rPr>
              <w:t>等级</w:t>
            </w:r>
          </w:p>
        </w:tc>
        <w:tc>
          <w:tcPr>
            <w:tcW w:w="1289" w:type="dxa"/>
            <w:vAlign w:val="center"/>
          </w:tcPr>
          <w:p>
            <w:pPr>
              <w:widowControl/>
              <w:kinsoku w:val="0"/>
              <w:overflowPunct w:val="0"/>
              <w:spacing w:line="500" w:lineRule="exact"/>
              <w:jc w:val="center"/>
              <w:rPr>
                <w:rFonts w:asciiTheme="minorHAnsi" w:hAnsiTheme="minorHAnsi" w:eastAsiaTheme="minorEastAsia" w:cstheme="minorBidi"/>
                <w:color w:val="auto"/>
                <w:sz w:val="22"/>
                <w:szCs w:val="22"/>
              </w:rPr>
            </w:pPr>
            <w:r>
              <w:rPr>
                <w:rFonts w:hint="eastAsia" w:cs="宋体" w:asciiTheme="minorEastAsia" w:hAnsiTheme="minorEastAsia" w:eastAsiaTheme="minorEastAsia"/>
                <w:color w:val="auto"/>
                <w:sz w:val="22"/>
                <w:szCs w:val="22"/>
              </w:rPr>
              <w:t>政府性基金及附加</w:t>
            </w:r>
          </w:p>
        </w:tc>
        <w:tc>
          <w:tcPr>
            <w:tcW w:w="1415" w:type="dxa"/>
            <w:vAlign w:val="center"/>
          </w:tcPr>
          <w:p>
            <w:pPr>
              <w:widowControl/>
              <w:kinsoku w:val="0"/>
              <w:overflowPunct w:val="0"/>
              <w:spacing w:line="500" w:lineRule="exact"/>
              <w:jc w:val="center"/>
              <w:rPr>
                <w:rFonts w:asciiTheme="minorHAnsi" w:hAnsiTheme="minorHAnsi" w:eastAsiaTheme="minorEastAsia" w:cstheme="minorBidi"/>
                <w:color w:val="auto"/>
                <w:sz w:val="22"/>
                <w:szCs w:val="22"/>
              </w:rPr>
            </w:pPr>
            <w:r>
              <w:rPr>
                <w:rFonts w:hint="eastAsia" w:cs="宋体" w:asciiTheme="minorEastAsia" w:hAnsiTheme="minorEastAsia" w:eastAsiaTheme="minorEastAsia"/>
                <w:color w:val="auto"/>
                <w:sz w:val="22"/>
                <w:szCs w:val="22"/>
              </w:rPr>
              <w:t>输配</w:t>
            </w:r>
          </w:p>
          <w:p>
            <w:pPr>
              <w:widowControl/>
              <w:kinsoku w:val="0"/>
              <w:overflowPunct w:val="0"/>
              <w:spacing w:line="500" w:lineRule="exact"/>
              <w:jc w:val="center"/>
              <w:rPr>
                <w:rFonts w:asciiTheme="minorHAnsi" w:hAnsiTheme="minorHAnsi" w:eastAsiaTheme="minorEastAsia" w:cstheme="minorBidi"/>
                <w:color w:val="auto"/>
                <w:sz w:val="22"/>
                <w:szCs w:val="22"/>
              </w:rPr>
            </w:pPr>
            <w:r>
              <w:rPr>
                <w:rFonts w:hint="eastAsia" w:cs="宋体" w:asciiTheme="minorEastAsia" w:hAnsiTheme="minorEastAsia" w:eastAsiaTheme="minorEastAsia"/>
                <w:color w:val="auto"/>
                <w:sz w:val="22"/>
                <w:szCs w:val="22"/>
              </w:rPr>
              <w:t>电价</w:t>
            </w:r>
          </w:p>
        </w:tc>
        <w:tc>
          <w:tcPr>
            <w:tcW w:w="1692" w:type="dxa"/>
            <w:vAlign w:val="center"/>
          </w:tcPr>
          <w:p>
            <w:pPr>
              <w:widowControl/>
              <w:kinsoku w:val="0"/>
              <w:overflowPunct w:val="0"/>
              <w:spacing w:line="500" w:lineRule="exact"/>
              <w:jc w:val="center"/>
              <w:rPr>
                <w:rFonts w:asciiTheme="minorHAnsi" w:hAnsiTheme="minorHAnsi" w:eastAsiaTheme="minorEastAsia" w:cstheme="minorBidi"/>
                <w:color w:val="auto"/>
                <w:sz w:val="22"/>
                <w:szCs w:val="22"/>
              </w:rPr>
            </w:pPr>
            <w:r>
              <w:rPr>
                <w:rFonts w:hint="eastAsia" w:cs="宋体" w:asciiTheme="minorEastAsia" w:hAnsiTheme="minorEastAsia" w:eastAsiaTheme="minorEastAsia"/>
                <w:color w:val="auto"/>
                <w:sz w:val="22"/>
                <w:szCs w:val="22"/>
              </w:rPr>
              <w:t>分时段平段</w:t>
            </w:r>
          </w:p>
          <w:p>
            <w:pPr>
              <w:widowControl/>
              <w:kinsoku w:val="0"/>
              <w:overflowPunct w:val="0"/>
              <w:spacing w:line="500" w:lineRule="exact"/>
              <w:jc w:val="center"/>
              <w:rPr>
                <w:rFonts w:asciiTheme="minorHAnsi" w:hAnsiTheme="minorHAnsi" w:eastAsiaTheme="minorEastAsia" w:cstheme="minorBidi"/>
                <w:color w:val="auto"/>
                <w:sz w:val="22"/>
                <w:szCs w:val="22"/>
              </w:rPr>
            </w:pPr>
            <w:r>
              <w:rPr>
                <w:rFonts w:hint="eastAsia" w:cs="宋体" w:asciiTheme="minorEastAsia" w:hAnsiTheme="minorEastAsia" w:eastAsiaTheme="minorEastAsia"/>
                <w:color w:val="auto"/>
                <w:sz w:val="22"/>
                <w:szCs w:val="22"/>
              </w:rPr>
              <w:t>电价</w:t>
            </w:r>
          </w:p>
        </w:tc>
        <w:tc>
          <w:tcPr>
            <w:tcW w:w="2466" w:type="dxa"/>
            <w:vAlign w:val="center"/>
          </w:tcPr>
          <w:p>
            <w:pPr>
              <w:widowControl/>
              <w:kinsoku w:val="0"/>
              <w:overflowPunct w:val="0"/>
              <w:spacing w:line="500" w:lineRule="exact"/>
              <w:jc w:val="center"/>
              <w:rPr>
                <w:rFonts w:hint="eastAsia"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最终落地分时段平段电度电价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71" w:type="dxa"/>
            <w:vAlign w:val="center"/>
          </w:tcPr>
          <w:p>
            <w:pPr>
              <w:widowControl/>
              <w:kinsoku w:val="0"/>
              <w:overflowPunct w:val="0"/>
              <w:spacing w:line="500" w:lineRule="exact"/>
              <w:jc w:val="center"/>
              <w:rPr>
                <w:rFonts w:asciiTheme="minorHAnsi" w:hAnsiTheme="minorHAnsi" w:eastAsiaTheme="minorEastAsia" w:cstheme="minorBidi"/>
                <w:color w:val="auto"/>
                <w:sz w:val="22"/>
                <w:szCs w:val="22"/>
              </w:rPr>
            </w:pPr>
            <w:r>
              <w:rPr>
                <w:rFonts w:hint="eastAsia" w:cs="宋体" w:asciiTheme="minorEastAsia" w:hAnsiTheme="minorEastAsia" w:eastAsiaTheme="minorEastAsia"/>
                <w:color w:val="auto"/>
                <w:sz w:val="22"/>
                <w:szCs w:val="22"/>
              </w:rPr>
              <w:t>定义</w:t>
            </w:r>
          </w:p>
        </w:tc>
        <w:tc>
          <w:tcPr>
            <w:tcW w:w="1289" w:type="dxa"/>
            <w:vAlign w:val="center"/>
          </w:tcPr>
          <w:p>
            <w:pPr>
              <w:widowControl/>
              <w:kinsoku w:val="0"/>
              <w:overflowPunct w:val="0"/>
              <w:spacing w:line="500" w:lineRule="exact"/>
              <w:jc w:val="center"/>
              <w:rPr>
                <w:rFonts w:asciiTheme="minorHAnsi" w:hAnsiTheme="minorHAnsi" w:eastAsiaTheme="minorEastAsia" w:cstheme="minorBidi"/>
                <w:color w:val="auto"/>
                <w:sz w:val="22"/>
                <w:szCs w:val="22"/>
              </w:rPr>
            </w:pPr>
            <w:r>
              <w:rPr>
                <w:rFonts w:cs="宋体" w:asciiTheme="minorEastAsia" w:hAnsiTheme="minorEastAsia" w:eastAsiaTheme="minorEastAsia"/>
                <w:color w:val="auto"/>
                <w:sz w:val="22"/>
                <w:szCs w:val="22"/>
              </w:rPr>
              <w:t>(B)</w:t>
            </w:r>
          </w:p>
        </w:tc>
        <w:tc>
          <w:tcPr>
            <w:tcW w:w="1415" w:type="dxa"/>
            <w:vAlign w:val="center"/>
          </w:tcPr>
          <w:p>
            <w:pPr>
              <w:widowControl/>
              <w:kinsoku w:val="0"/>
              <w:overflowPunct w:val="0"/>
              <w:spacing w:line="500" w:lineRule="exact"/>
              <w:jc w:val="center"/>
              <w:rPr>
                <w:rFonts w:asciiTheme="minorHAnsi" w:hAnsiTheme="minorHAnsi" w:eastAsiaTheme="minorEastAsia" w:cstheme="minorBidi"/>
                <w:color w:val="auto"/>
                <w:sz w:val="22"/>
                <w:szCs w:val="22"/>
              </w:rPr>
            </w:pPr>
            <w:r>
              <w:rPr>
                <w:rFonts w:cs="宋体" w:asciiTheme="minorEastAsia" w:hAnsiTheme="minorEastAsia" w:eastAsiaTheme="minorEastAsia"/>
                <w:color w:val="auto"/>
                <w:sz w:val="22"/>
                <w:szCs w:val="22"/>
              </w:rPr>
              <w:t>(C)</w:t>
            </w:r>
          </w:p>
        </w:tc>
        <w:tc>
          <w:tcPr>
            <w:tcW w:w="1692" w:type="dxa"/>
            <w:tcBorders>
              <w:right w:val="single" w:color="auto" w:sz="4" w:space="0"/>
            </w:tcBorders>
            <w:vAlign w:val="center"/>
          </w:tcPr>
          <w:p>
            <w:pPr>
              <w:widowControl/>
              <w:kinsoku w:val="0"/>
              <w:overflowPunct w:val="0"/>
              <w:spacing w:line="500" w:lineRule="exact"/>
              <w:jc w:val="center"/>
              <w:rPr>
                <w:rFonts w:hint="default" w:cs="宋体" w:asciiTheme="minorEastAsia" w:hAnsiTheme="minorEastAsia" w:eastAsiaTheme="minorEastAsia"/>
                <w:color w:val="auto"/>
                <w:sz w:val="22"/>
                <w:szCs w:val="22"/>
              </w:rPr>
            </w:pPr>
            <w:r>
              <w:rPr>
                <w:rFonts w:cs="宋体" w:asciiTheme="minorEastAsia" w:hAnsiTheme="minorEastAsia" w:eastAsiaTheme="minorEastAsia"/>
                <w:color w:val="auto"/>
                <w:sz w:val="22"/>
                <w:szCs w:val="22"/>
              </w:rPr>
              <w:t>(D)</w:t>
            </w:r>
          </w:p>
        </w:tc>
        <w:tc>
          <w:tcPr>
            <w:tcW w:w="2466" w:type="dxa"/>
            <w:tcBorders>
              <w:right w:val="single" w:color="auto" w:sz="4" w:space="0"/>
            </w:tcBorders>
            <w:vAlign w:val="center"/>
          </w:tcPr>
          <w:p>
            <w:pPr>
              <w:widowControl/>
              <w:kinsoku w:val="0"/>
              <w:overflowPunct w:val="0"/>
              <w:spacing w:line="500" w:lineRule="exact"/>
              <w:jc w:val="center"/>
              <w:rPr>
                <w:rFonts w:hint="default" w:cs="宋体" w:asciiTheme="minorEastAsia" w:hAnsiTheme="minorEastAsia" w:eastAsiaTheme="minorEastAsia"/>
                <w:color w:val="auto"/>
                <w:sz w:val="22"/>
                <w:szCs w:val="22"/>
                <w:lang w:val="en-US" w:eastAsia="zh-CN"/>
              </w:rPr>
            </w:pPr>
            <w:r>
              <w:rPr>
                <w:rFonts w:cs="宋体" w:asciiTheme="minorEastAsia" w:hAnsiTheme="minorEastAsia" w:eastAsiaTheme="minorEastAsia"/>
                <w:color w:val="auto"/>
                <w:sz w:val="22"/>
                <w:szCs w:val="22"/>
              </w:rPr>
              <w:t>A=B+C+D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71" w:type="dxa"/>
            <w:vAlign w:val="center"/>
          </w:tcPr>
          <w:p>
            <w:pPr>
              <w:widowControl/>
              <w:kinsoku w:val="0"/>
              <w:overflowPunct w:val="0"/>
              <w:spacing w:line="500" w:lineRule="exact"/>
              <w:jc w:val="center"/>
              <w:rPr>
                <w:rFonts w:asciiTheme="minorHAnsi" w:hAnsiTheme="minorHAnsi" w:eastAsiaTheme="minorEastAsia" w:cstheme="minorBidi"/>
                <w:color w:val="auto"/>
                <w:sz w:val="22"/>
                <w:szCs w:val="22"/>
              </w:rPr>
            </w:pPr>
            <w:r>
              <w:rPr>
                <w:rFonts w:hint="eastAsia" w:cs="宋体" w:asciiTheme="minorEastAsia" w:hAnsiTheme="minorEastAsia" w:eastAsiaTheme="minorEastAsia"/>
                <w:color w:val="auto"/>
                <w:sz w:val="22"/>
                <w:szCs w:val="22"/>
                <w:lang w:eastAsia="zh-CN"/>
              </w:rPr>
              <w:t>3</w:t>
            </w:r>
            <w:r>
              <w:rPr>
                <w:rFonts w:hint="eastAsia" w:cs="宋体" w:asciiTheme="minorEastAsia" w:hAnsiTheme="minorEastAsia" w:eastAsiaTheme="minorEastAsia"/>
                <w:color w:val="auto"/>
                <w:sz w:val="22"/>
                <w:szCs w:val="22"/>
                <w:lang w:val="en-US" w:eastAsia="zh-CN"/>
              </w:rPr>
              <w:t>5</w:t>
            </w:r>
            <w:r>
              <w:rPr>
                <w:rFonts w:hint="eastAsia" w:cs="宋体" w:asciiTheme="minorEastAsia" w:hAnsiTheme="minorEastAsia" w:eastAsiaTheme="minorEastAsia"/>
                <w:color w:val="auto"/>
                <w:sz w:val="22"/>
                <w:szCs w:val="22"/>
              </w:rPr>
              <w:t>千伏</w:t>
            </w:r>
          </w:p>
        </w:tc>
        <w:tc>
          <w:tcPr>
            <w:tcW w:w="1289" w:type="dxa"/>
            <w:vAlign w:val="center"/>
          </w:tcPr>
          <w:p>
            <w:pPr>
              <w:widowControl/>
              <w:kinsoku w:val="0"/>
              <w:overflowPunct w:val="0"/>
              <w:spacing w:line="500" w:lineRule="exact"/>
              <w:jc w:val="center"/>
              <w:rPr>
                <w:rFonts w:asciiTheme="minorHAnsi" w:hAnsiTheme="minorHAnsi" w:eastAsiaTheme="minorEastAsia" w:cstheme="minorBidi"/>
                <w:color w:val="auto"/>
                <w:sz w:val="22"/>
                <w:szCs w:val="22"/>
              </w:rPr>
            </w:pPr>
          </w:p>
        </w:tc>
        <w:tc>
          <w:tcPr>
            <w:tcW w:w="1415" w:type="dxa"/>
            <w:vAlign w:val="center"/>
          </w:tcPr>
          <w:p>
            <w:pPr>
              <w:widowControl/>
              <w:kinsoku w:val="0"/>
              <w:overflowPunct w:val="0"/>
              <w:spacing w:line="500" w:lineRule="exact"/>
              <w:jc w:val="center"/>
              <w:rPr>
                <w:rFonts w:asciiTheme="minorHAnsi" w:hAnsiTheme="minorHAnsi" w:eastAsiaTheme="minorEastAsia" w:cstheme="minorBidi"/>
                <w:color w:val="auto"/>
                <w:sz w:val="22"/>
                <w:szCs w:val="22"/>
              </w:rPr>
            </w:pPr>
          </w:p>
        </w:tc>
        <w:tc>
          <w:tcPr>
            <w:tcW w:w="1692" w:type="dxa"/>
            <w:tcBorders>
              <w:right w:val="single" w:color="auto" w:sz="4" w:space="0"/>
            </w:tcBorders>
            <w:vAlign w:val="center"/>
          </w:tcPr>
          <w:p>
            <w:pPr>
              <w:widowControl/>
              <w:kinsoku w:val="0"/>
              <w:overflowPunct w:val="0"/>
              <w:spacing w:line="500" w:lineRule="exact"/>
              <w:jc w:val="center"/>
              <w:rPr>
                <w:rFonts w:asciiTheme="minorHAnsi" w:hAnsiTheme="minorHAnsi" w:eastAsiaTheme="minorEastAsia" w:cstheme="minorBidi"/>
                <w:color w:val="auto"/>
                <w:sz w:val="22"/>
                <w:szCs w:val="22"/>
              </w:rPr>
            </w:pPr>
          </w:p>
        </w:tc>
        <w:tc>
          <w:tcPr>
            <w:tcW w:w="2466" w:type="dxa"/>
            <w:tcBorders>
              <w:right w:val="single" w:color="auto" w:sz="4" w:space="0"/>
            </w:tcBorders>
            <w:vAlign w:val="center"/>
          </w:tcPr>
          <w:p>
            <w:pPr>
              <w:widowControl/>
              <w:kinsoku w:val="0"/>
              <w:overflowPunct w:val="0"/>
              <w:spacing w:line="500" w:lineRule="exact"/>
              <w:jc w:val="center"/>
              <w:rPr>
                <w:rFonts w:asciiTheme="minorHAnsi" w:hAnsiTheme="minorHAnsi" w:eastAsiaTheme="minorEastAsia" w:cstheme="minorBidi"/>
                <w:color w:val="auto"/>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433" w:type="dxa"/>
            <w:gridSpan w:val="5"/>
            <w:tcBorders>
              <w:right w:val="single" w:color="auto" w:sz="4" w:space="0"/>
            </w:tcBorders>
          </w:tcPr>
          <w:p>
            <w:pPr>
              <w:spacing w:line="500" w:lineRule="exact"/>
              <w:rPr>
                <w:rFonts w:asciiTheme="minorEastAsia" w:hAnsiTheme="minorEastAsia" w:eastAsiaTheme="minorEastAsia" w:cstheme="minorBidi"/>
                <w:color w:val="auto"/>
                <w:sz w:val="22"/>
                <w:szCs w:val="22"/>
              </w:rPr>
            </w:pPr>
            <w:r>
              <w:rPr>
                <w:rFonts w:hint="eastAsia" w:asciiTheme="minorEastAsia" w:hAnsiTheme="minorEastAsia" w:eastAsiaTheme="minorEastAsia" w:cstheme="minorBidi"/>
                <w:color w:val="auto"/>
                <w:sz w:val="22"/>
                <w:szCs w:val="22"/>
              </w:rPr>
              <w:t>注：</w:t>
            </w:r>
            <w:r>
              <w:rPr>
                <w:rFonts w:asciiTheme="minorEastAsia" w:hAnsiTheme="minorEastAsia" w:eastAsiaTheme="minorEastAsia" w:cstheme="minorBidi"/>
                <w:color w:val="auto"/>
                <w:sz w:val="22"/>
                <w:szCs w:val="22"/>
              </w:rPr>
              <w:t>1、输配电费、政府基金及附加按政府现行文件执行。</w:t>
            </w:r>
            <w:r>
              <w:rPr>
                <w:rFonts w:asciiTheme="minorEastAsia" w:hAnsiTheme="minorEastAsia" w:eastAsiaTheme="minorEastAsia" w:cstheme="minorBidi"/>
                <w:color w:val="auto"/>
                <w:sz w:val="22"/>
                <w:szCs w:val="22"/>
              </w:rPr>
              <w:br w:type="textWrapping"/>
            </w:r>
            <w:r>
              <w:rPr>
                <w:rFonts w:asciiTheme="minorEastAsia" w:hAnsiTheme="minorEastAsia" w:eastAsiaTheme="minorEastAsia" w:cstheme="minorBidi"/>
                <w:color w:val="auto"/>
                <w:sz w:val="22"/>
                <w:szCs w:val="22"/>
              </w:rPr>
              <w:t xml:space="preserve">    2、用户最终落地价格不含变压器基本容量电费。</w:t>
            </w:r>
          </w:p>
          <w:p>
            <w:pPr>
              <w:numPr>
                <w:ilvl w:val="0"/>
                <w:numId w:val="2"/>
              </w:numPr>
              <w:spacing w:line="500" w:lineRule="exact"/>
              <w:ind w:left="440"/>
              <w:rPr>
                <w:rFonts w:hint="eastAsia" w:asciiTheme="minorEastAsia" w:hAnsiTheme="minorEastAsia" w:eastAsiaTheme="minorEastAsia" w:cstheme="minorBidi"/>
                <w:color w:val="auto"/>
                <w:sz w:val="22"/>
                <w:szCs w:val="22"/>
              </w:rPr>
            </w:pPr>
            <w:r>
              <w:rPr>
                <w:rFonts w:hint="eastAsia" w:asciiTheme="minorEastAsia" w:hAnsiTheme="minorEastAsia" w:eastAsiaTheme="minorEastAsia" w:cstheme="minorBidi"/>
                <w:color w:val="auto"/>
                <w:sz w:val="22"/>
                <w:szCs w:val="22"/>
              </w:rPr>
              <w:t>其余分时段电价按照</w:t>
            </w:r>
            <w:r>
              <w:rPr>
                <w:rFonts w:asciiTheme="minorEastAsia" w:hAnsiTheme="minorEastAsia" w:eastAsiaTheme="minorEastAsia" w:cstheme="minorBidi"/>
                <w:color w:val="auto"/>
                <w:sz w:val="22"/>
                <w:szCs w:val="22"/>
              </w:rPr>
              <w:t>政府现行文件</w:t>
            </w:r>
            <w:r>
              <w:rPr>
                <w:rFonts w:hint="eastAsia" w:asciiTheme="minorEastAsia" w:hAnsiTheme="minorEastAsia" w:eastAsiaTheme="minorEastAsia" w:cstheme="minorBidi"/>
                <w:color w:val="auto"/>
                <w:sz w:val="22"/>
                <w:szCs w:val="22"/>
                <w:lang w:eastAsia="zh-CN"/>
              </w:rPr>
              <w:t>确定的电价系数</w:t>
            </w:r>
            <w:r>
              <w:rPr>
                <w:rFonts w:asciiTheme="minorEastAsia" w:hAnsiTheme="minorEastAsia" w:eastAsiaTheme="minorEastAsia" w:cstheme="minorBidi"/>
                <w:color w:val="auto"/>
                <w:sz w:val="22"/>
                <w:szCs w:val="22"/>
              </w:rPr>
              <w:t>执行</w:t>
            </w:r>
            <w:r>
              <w:rPr>
                <w:rFonts w:hint="eastAsia" w:asciiTheme="minorEastAsia" w:hAnsiTheme="minorEastAsia" w:eastAsiaTheme="minorEastAsia" w:cstheme="minorBidi"/>
                <w:color w:val="auto"/>
                <w:sz w:val="22"/>
                <w:szCs w:val="22"/>
              </w:rPr>
              <w:t>。</w:t>
            </w:r>
          </w:p>
          <w:p>
            <w:pPr>
              <w:numPr>
                <w:ilvl w:val="0"/>
                <w:numId w:val="2"/>
              </w:numPr>
              <w:spacing w:line="500" w:lineRule="exact"/>
              <w:ind w:left="440"/>
              <w:rPr>
                <w:rFonts w:hint="eastAsia" w:asciiTheme="minorEastAsia" w:hAnsiTheme="minorEastAsia" w:eastAsiaTheme="minorEastAsia" w:cstheme="minorBidi"/>
                <w:color w:val="auto"/>
                <w:sz w:val="22"/>
                <w:szCs w:val="22"/>
              </w:rPr>
            </w:pPr>
            <w:r>
              <w:rPr>
                <w:rFonts w:hint="eastAsia" w:asciiTheme="minorEastAsia" w:hAnsiTheme="minorEastAsia" w:eastAsiaTheme="minorEastAsia" w:cstheme="minorBidi"/>
                <w:color w:val="auto"/>
                <w:sz w:val="22"/>
                <w:szCs w:val="22"/>
                <w:lang w:eastAsia="zh-CN"/>
              </w:rPr>
              <w:t>如遇政府政策文件调整，以调整后的政策为准。</w:t>
            </w:r>
          </w:p>
        </w:tc>
      </w:tr>
    </w:tbl>
    <w:p>
      <w:pPr>
        <w:widowControl/>
        <w:adjustRightInd w:val="0"/>
        <w:snapToGrid w:val="0"/>
        <w:spacing w:line="500" w:lineRule="exact"/>
        <w:ind w:firstLine="4340" w:firstLineChars="1550"/>
        <w:rPr>
          <w:rFonts w:ascii="楷体" w:hAnsi="楷体" w:eastAsia="楷体"/>
          <w:color w:val="auto"/>
          <w:sz w:val="28"/>
          <w:szCs w:val="28"/>
        </w:rPr>
      </w:pPr>
      <w:r>
        <w:rPr>
          <w:rFonts w:ascii="楷体" w:hAnsi="楷体" w:eastAsia="楷体"/>
          <w:color w:val="auto"/>
          <w:sz w:val="28"/>
          <w:szCs w:val="28"/>
        </w:rPr>
        <w:t>投标人名称</w:t>
      </w:r>
      <w:r>
        <w:rPr>
          <w:rFonts w:hint="eastAsia" w:ascii="楷体" w:hAnsi="楷体" w:eastAsia="楷体"/>
          <w:color w:val="auto"/>
          <w:sz w:val="28"/>
          <w:szCs w:val="28"/>
        </w:rPr>
        <w:t>（盖公章）</w:t>
      </w:r>
      <w:r>
        <w:rPr>
          <w:rFonts w:ascii="楷体" w:hAnsi="楷体" w:eastAsia="楷体"/>
          <w:color w:val="auto"/>
          <w:sz w:val="28"/>
          <w:szCs w:val="28"/>
        </w:rPr>
        <w:t>：</w:t>
      </w:r>
    </w:p>
    <w:p>
      <w:pPr>
        <w:widowControl/>
        <w:adjustRightInd w:val="0"/>
        <w:snapToGrid w:val="0"/>
        <w:spacing w:line="500" w:lineRule="exact"/>
        <w:ind w:firstLine="4340" w:firstLineChars="1550"/>
        <w:rPr>
          <w:rFonts w:ascii="楷体" w:hAnsi="楷体" w:eastAsia="楷体"/>
          <w:color w:val="auto"/>
          <w:sz w:val="28"/>
          <w:szCs w:val="28"/>
        </w:rPr>
      </w:pPr>
      <w:r>
        <w:rPr>
          <w:rFonts w:ascii="楷体" w:hAnsi="楷体" w:eastAsia="楷体"/>
          <w:color w:val="auto"/>
          <w:sz w:val="28"/>
          <w:szCs w:val="28"/>
        </w:rPr>
        <w:t>地址：</w:t>
      </w:r>
    </w:p>
    <w:p>
      <w:pPr>
        <w:widowControl/>
        <w:adjustRightInd w:val="0"/>
        <w:snapToGrid w:val="0"/>
        <w:spacing w:line="500" w:lineRule="exact"/>
        <w:ind w:firstLine="4340" w:firstLineChars="1550"/>
        <w:rPr>
          <w:rFonts w:ascii="楷体" w:hAnsi="楷体" w:eastAsia="楷体"/>
          <w:color w:val="auto"/>
          <w:sz w:val="28"/>
          <w:szCs w:val="28"/>
        </w:rPr>
      </w:pPr>
      <w:r>
        <w:rPr>
          <w:rFonts w:ascii="楷体" w:hAnsi="楷体" w:eastAsia="楷体"/>
          <w:color w:val="auto"/>
          <w:sz w:val="28"/>
          <w:szCs w:val="28"/>
        </w:rPr>
        <w:t>电话：</w:t>
      </w:r>
    </w:p>
    <w:p>
      <w:pPr>
        <w:widowControl/>
        <w:adjustRightInd w:val="0"/>
        <w:snapToGrid w:val="0"/>
        <w:spacing w:line="500" w:lineRule="exact"/>
        <w:ind w:firstLine="4340" w:firstLineChars="1550"/>
        <w:rPr>
          <w:rFonts w:ascii="楷体" w:hAnsi="楷体" w:eastAsia="楷体"/>
          <w:color w:val="auto"/>
          <w:sz w:val="28"/>
          <w:szCs w:val="28"/>
        </w:rPr>
      </w:pPr>
      <w:r>
        <w:rPr>
          <w:rFonts w:ascii="楷体" w:hAnsi="楷体" w:eastAsia="楷体"/>
          <w:color w:val="auto"/>
          <w:sz w:val="28"/>
          <w:szCs w:val="28"/>
        </w:rPr>
        <w:t>委托代理人姓名、职务：</w:t>
      </w:r>
    </w:p>
    <w:p>
      <w:pPr>
        <w:widowControl/>
        <w:adjustRightInd w:val="0"/>
        <w:snapToGrid w:val="0"/>
        <w:spacing w:line="500" w:lineRule="exact"/>
        <w:ind w:firstLine="4340" w:firstLineChars="1550"/>
        <w:rPr>
          <w:rFonts w:ascii="楷体" w:hAnsi="楷体" w:eastAsia="楷体"/>
          <w:color w:val="auto"/>
          <w:sz w:val="28"/>
          <w:szCs w:val="28"/>
        </w:rPr>
      </w:pPr>
      <w:r>
        <w:rPr>
          <w:rFonts w:ascii="楷体" w:hAnsi="楷体" w:eastAsia="楷体"/>
          <w:color w:val="auto"/>
          <w:sz w:val="28"/>
          <w:szCs w:val="28"/>
        </w:rPr>
        <w:t>传真：</w:t>
      </w:r>
    </w:p>
    <w:p>
      <w:pPr>
        <w:widowControl/>
        <w:adjustRightInd w:val="0"/>
        <w:snapToGrid w:val="0"/>
        <w:spacing w:line="500" w:lineRule="exact"/>
        <w:ind w:firstLine="4340" w:firstLineChars="1550"/>
        <w:rPr>
          <w:rFonts w:ascii="楷体" w:hAnsi="楷体" w:eastAsia="楷体"/>
          <w:color w:val="auto"/>
          <w:sz w:val="28"/>
          <w:szCs w:val="28"/>
        </w:rPr>
      </w:pPr>
      <w:r>
        <w:rPr>
          <w:rFonts w:ascii="楷体" w:hAnsi="楷体" w:eastAsia="楷体"/>
          <w:color w:val="auto"/>
          <w:sz w:val="28"/>
          <w:szCs w:val="28"/>
        </w:rPr>
        <w:t>邮编：</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fldChar w:fldCharType="begin"/>
    </w:r>
    <w:r>
      <w:instrText xml:space="preserve"> PAGE   \* MERGEFORMAT </w:instrText>
    </w:r>
    <w:r>
      <w:fldChar w:fldCharType="separate"/>
    </w:r>
    <w:r>
      <w:rPr>
        <w:lang w:val="zh-CN"/>
      </w:rPr>
      <w:t>9</w:t>
    </w:r>
    <w:r>
      <w:rPr>
        <w:lang w:val="zh-CN"/>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rFonts w:hint="eastAsia"/>
      </w:rPr>
      <w:drawing>
        <wp:inline distT="0" distB="0" distL="0" distR="0">
          <wp:extent cx="1054100" cy="276225"/>
          <wp:effectExtent l="0" t="0" r="1270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cstate="print">
                    <a:extLst>
                      <a:ext uri="{28A0092B-C50C-407E-A947-70E740481C1C}">
                        <a14:useLocalDpi xmlns:a14="http://schemas.microsoft.com/office/drawing/2010/main" val="0"/>
                      </a:ext>
                    </a:extLst>
                  </a:blip>
                  <a:srcRect l="23692" t="37846" r="14616" b="46000"/>
                  <a:stretch>
                    <a:fillRect/>
                  </a:stretch>
                </pic:blipFill>
                <pic:spPr>
                  <a:xfrm>
                    <a:off x="0" y="0"/>
                    <a:ext cx="1054100" cy="276225"/>
                  </a:xfrm>
                  <a:prstGeom prst="rect">
                    <a:avLst/>
                  </a:prstGeom>
                  <a:ln>
                    <a:noFill/>
                  </a:ln>
                </pic:spPr>
              </pic:pic>
            </a:graphicData>
          </a:graphic>
        </wp:inline>
      </w:drawing>
    </w:r>
    <w:r>
      <w:rPr>
        <w:rFonts w:hint="eastAsia"/>
      </w:rPr>
      <w:t xml:space="preserve">         </w:t>
    </w:r>
    <w:r>
      <w:rPr>
        <w:rFonts w:hint="eastAsia"/>
      </w:rPr>
      <w:drawing>
        <wp:inline distT="0" distB="0" distL="0" distR="0">
          <wp:extent cx="1685925" cy="285750"/>
          <wp:effectExtent l="19050" t="0" r="9525" b="0"/>
          <wp:docPr id="2" name="图片 0" descr="PSM--logo左中英文全称组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PSM--logo左中英文全称组合.png"/>
                  <pic:cNvPicPr>
                    <a:picLocks noChangeAspect="1"/>
                  </pic:cNvPicPr>
                </pic:nvPicPr>
                <pic:blipFill>
                  <a:blip r:embed="rId2" cstate="print"/>
                  <a:stretch>
                    <a:fillRect/>
                  </a:stretch>
                </pic:blipFill>
                <pic:spPr>
                  <a:xfrm>
                    <a:off x="0" y="0"/>
                    <a:ext cx="1689855" cy="286416"/>
                  </a:xfrm>
                  <a:prstGeom prst="rect">
                    <a:avLst/>
                  </a:prstGeom>
                </pic:spPr>
              </pic:pic>
            </a:graphicData>
          </a:graphic>
        </wp:inline>
      </w:drawing>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869162"/>
    <w:multiLevelType w:val="singleLevel"/>
    <w:tmpl w:val="92869162"/>
    <w:lvl w:ilvl="0" w:tentative="0">
      <w:start w:val="3"/>
      <w:numFmt w:val="decimal"/>
      <w:suff w:val="nothing"/>
      <w:lvlText w:val="%1、"/>
      <w:lvlJc w:val="left"/>
      <w:pPr>
        <w:ind w:left="440" w:leftChars="0" w:firstLine="0" w:firstLineChars="0"/>
      </w:pPr>
    </w:lvl>
  </w:abstractNum>
  <w:abstractNum w:abstractNumId="1">
    <w:nsid w:val="4CCE2713"/>
    <w:multiLevelType w:val="singleLevel"/>
    <w:tmpl w:val="4CCE2713"/>
    <w:lvl w:ilvl="0" w:tentative="0">
      <w:start w:val="3"/>
      <w:numFmt w:val="decimal"/>
      <w:suff w:val="nothing"/>
      <w:lvlText w:val="%1、"/>
      <w:lvlJc w:val="left"/>
      <w:pPr>
        <w:ind w:left="44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E5B"/>
    <w:rsid w:val="000029D5"/>
    <w:rsid w:val="00003E04"/>
    <w:rsid w:val="00004EA8"/>
    <w:rsid w:val="00007C7B"/>
    <w:rsid w:val="00015557"/>
    <w:rsid w:val="00021F81"/>
    <w:rsid w:val="000263DA"/>
    <w:rsid w:val="000355F1"/>
    <w:rsid w:val="00040BA2"/>
    <w:rsid w:val="000431A3"/>
    <w:rsid w:val="000444B1"/>
    <w:rsid w:val="000541CB"/>
    <w:rsid w:val="0006053A"/>
    <w:rsid w:val="00067722"/>
    <w:rsid w:val="00086BB8"/>
    <w:rsid w:val="00093C12"/>
    <w:rsid w:val="00094A57"/>
    <w:rsid w:val="000A0C39"/>
    <w:rsid w:val="000B249A"/>
    <w:rsid w:val="000B456F"/>
    <w:rsid w:val="000C27B0"/>
    <w:rsid w:val="000D220C"/>
    <w:rsid w:val="000D6601"/>
    <w:rsid w:val="000E4611"/>
    <w:rsid w:val="000E78CC"/>
    <w:rsid w:val="0010032A"/>
    <w:rsid w:val="0012731E"/>
    <w:rsid w:val="001311A2"/>
    <w:rsid w:val="001322AA"/>
    <w:rsid w:val="001366F0"/>
    <w:rsid w:val="0014424D"/>
    <w:rsid w:val="001459E0"/>
    <w:rsid w:val="00150B0E"/>
    <w:rsid w:val="001532E3"/>
    <w:rsid w:val="001537A5"/>
    <w:rsid w:val="00154209"/>
    <w:rsid w:val="00161681"/>
    <w:rsid w:val="00175A55"/>
    <w:rsid w:val="00193C2B"/>
    <w:rsid w:val="00194FC2"/>
    <w:rsid w:val="001A5AB7"/>
    <w:rsid w:val="001B53B5"/>
    <w:rsid w:val="001B5CEB"/>
    <w:rsid w:val="001B6812"/>
    <w:rsid w:val="001B752B"/>
    <w:rsid w:val="001D5BEF"/>
    <w:rsid w:val="001F1413"/>
    <w:rsid w:val="001F71AB"/>
    <w:rsid w:val="002042FB"/>
    <w:rsid w:val="00206428"/>
    <w:rsid w:val="002072E6"/>
    <w:rsid w:val="00213A70"/>
    <w:rsid w:val="00214AF4"/>
    <w:rsid w:val="00214DF0"/>
    <w:rsid w:val="00215346"/>
    <w:rsid w:val="00220ACA"/>
    <w:rsid w:val="00226097"/>
    <w:rsid w:val="00242D9D"/>
    <w:rsid w:val="00243784"/>
    <w:rsid w:val="00244027"/>
    <w:rsid w:val="0024418B"/>
    <w:rsid w:val="00246A90"/>
    <w:rsid w:val="002636B5"/>
    <w:rsid w:val="00266E27"/>
    <w:rsid w:val="0027183B"/>
    <w:rsid w:val="00287CAA"/>
    <w:rsid w:val="00297D21"/>
    <w:rsid w:val="002A0F27"/>
    <w:rsid w:val="002B13D7"/>
    <w:rsid w:val="002B1CAC"/>
    <w:rsid w:val="002B6ABF"/>
    <w:rsid w:val="002B6BB5"/>
    <w:rsid w:val="002B706B"/>
    <w:rsid w:val="002C20FD"/>
    <w:rsid w:val="002C5C98"/>
    <w:rsid w:val="002D4BA4"/>
    <w:rsid w:val="002D5CA5"/>
    <w:rsid w:val="002E3FB8"/>
    <w:rsid w:val="003051F0"/>
    <w:rsid w:val="00321149"/>
    <w:rsid w:val="0032345D"/>
    <w:rsid w:val="00331565"/>
    <w:rsid w:val="0033185B"/>
    <w:rsid w:val="00331ADB"/>
    <w:rsid w:val="00336574"/>
    <w:rsid w:val="00343E59"/>
    <w:rsid w:val="00350E94"/>
    <w:rsid w:val="003612EA"/>
    <w:rsid w:val="00362190"/>
    <w:rsid w:val="00363A3B"/>
    <w:rsid w:val="003729D3"/>
    <w:rsid w:val="0037681B"/>
    <w:rsid w:val="003806FB"/>
    <w:rsid w:val="00380A49"/>
    <w:rsid w:val="00381720"/>
    <w:rsid w:val="00382403"/>
    <w:rsid w:val="0038504A"/>
    <w:rsid w:val="003854BA"/>
    <w:rsid w:val="003926C6"/>
    <w:rsid w:val="00393543"/>
    <w:rsid w:val="00395B7B"/>
    <w:rsid w:val="003A28B9"/>
    <w:rsid w:val="003A3257"/>
    <w:rsid w:val="003C055B"/>
    <w:rsid w:val="003C2627"/>
    <w:rsid w:val="003C5DA7"/>
    <w:rsid w:val="003C6518"/>
    <w:rsid w:val="003C6D23"/>
    <w:rsid w:val="003E24C5"/>
    <w:rsid w:val="003E3DE9"/>
    <w:rsid w:val="003F1E23"/>
    <w:rsid w:val="003F3583"/>
    <w:rsid w:val="003F50F0"/>
    <w:rsid w:val="00402807"/>
    <w:rsid w:val="0040689B"/>
    <w:rsid w:val="00413F04"/>
    <w:rsid w:val="004208B7"/>
    <w:rsid w:val="0042606A"/>
    <w:rsid w:val="0043240B"/>
    <w:rsid w:val="00432CF2"/>
    <w:rsid w:val="0043491A"/>
    <w:rsid w:val="00450991"/>
    <w:rsid w:val="00467A27"/>
    <w:rsid w:val="004701C0"/>
    <w:rsid w:val="00477191"/>
    <w:rsid w:val="00490506"/>
    <w:rsid w:val="00493336"/>
    <w:rsid w:val="004967DB"/>
    <w:rsid w:val="004A66FE"/>
    <w:rsid w:val="004B0B78"/>
    <w:rsid w:val="004B4654"/>
    <w:rsid w:val="004C43AC"/>
    <w:rsid w:val="004C5F76"/>
    <w:rsid w:val="004D15A3"/>
    <w:rsid w:val="004D2DA7"/>
    <w:rsid w:val="004E0AA4"/>
    <w:rsid w:val="004E18B4"/>
    <w:rsid w:val="004E3433"/>
    <w:rsid w:val="004E6E78"/>
    <w:rsid w:val="004F329C"/>
    <w:rsid w:val="004F5772"/>
    <w:rsid w:val="00512247"/>
    <w:rsid w:val="00533F28"/>
    <w:rsid w:val="00561E26"/>
    <w:rsid w:val="00562480"/>
    <w:rsid w:val="005654D3"/>
    <w:rsid w:val="0058176D"/>
    <w:rsid w:val="00596301"/>
    <w:rsid w:val="005A3BBD"/>
    <w:rsid w:val="005A40AA"/>
    <w:rsid w:val="005B360F"/>
    <w:rsid w:val="005C44C2"/>
    <w:rsid w:val="005C72D5"/>
    <w:rsid w:val="005E2D10"/>
    <w:rsid w:val="005E49C0"/>
    <w:rsid w:val="005E4D52"/>
    <w:rsid w:val="005F5509"/>
    <w:rsid w:val="005F5979"/>
    <w:rsid w:val="005F5C54"/>
    <w:rsid w:val="00601200"/>
    <w:rsid w:val="00614121"/>
    <w:rsid w:val="00621879"/>
    <w:rsid w:val="00630F25"/>
    <w:rsid w:val="0063671A"/>
    <w:rsid w:val="00641007"/>
    <w:rsid w:val="00645AA2"/>
    <w:rsid w:val="006466EA"/>
    <w:rsid w:val="0065158B"/>
    <w:rsid w:val="00661B99"/>
    <w:rsid w:val="0066432D"/>
    <w:rsid w:val="0066542F"/>
    <w:rsid w:val="0066719E"/>
    <w:rsid w:val="006711FC"/>
    <w:rsid w:val="00677D22"/>
    <w:rsid w:val="00682078"/>
    <w:rsid w:val="00683EEF"/>
    <w:rsid w:val="0069188E"/>
    <w:rsid w:val="006958AB"/>
    <w:rsid w:val="006A3A73"/>
    <w:rsid w:val="006B4380"/>
    <w:rsid w:val="006B55A1"/>
    <w:rsid w:val="006C3A47"/>
    <w:rsid w:val="006C6204"/>
    <w:rsid w:val="006D2293"/>
    <w:rsid w:val="006D4DC4"/>
    <w:rsid w:val="006D54A7"/>
    <w:rsid w:val="006E030B"/>
    <w:rsid w:val="006E4068"/>
    <w:rsid w:val="006F63F5"/>
    <w:rsid w:val="00703DD3"/>
    <w:rsid w:val="00711C7A"/>
    <w:rsid w:val="00734BD5"/>
    <w:rsid w:val="00735C08"/>
    <w:rsid w:val="00746225"/>
    <w:rsid w:val="00757B95"/>
    <w:rsid w:val="00774BE4"/>
    <w:rsid w:val="00794333"/>
    <w:rsid w:val="007A0D62"/>
    <w:rsid w:val="007B0DC5"/>
    <w:rsid w:val="007C1FAA"/>
    <w:rsid w:val="007D71DF"/>
    <w:rsid w:val="007E1551"/>
    <w:rsid w:val="007E682D"/>
    <w:rsid w:val="007F0A60"/>
    <w:rsid w:val="007F6684"/>
    <w:rsid w:val="008001AC"/>
    <w:rsid w:val="0081774D"/>
    <w:rsid w:val="008204BA"/>
    <w:rsid w:val="00823E1B"/>
    <w:rsid w:val="008240B5"/>
    <w:rsid w:val="00824E1C"/>
    <w:rsid w:val="008332D2"/>
    <w:rsid w:val="00834D1D"/>
    <w:rsid w:val="008545D4"/>
    <w:rsid w:val="00860E95"/>
    <w:rsid w:val="00863C27"/>
    <w:rsid w:val="00865C75"/>
    <w:rsid w:val="00867DEC"/>
    <w:rsid w:val="008823B4"/>
    <w:rsid w:val="008A4062"/>
    <w:rsid w:val="008B2C47"/>
    <w:rsid w:val="008C0EFE"/>
    <w:rsid w:val="008C188B"/>
    <w:rsid w:val="008C4C6B"/>
    <w:rsid w:val="008D2EC5"/>
    <w:rsid w:val="008E5D6D"/>
    <w:rsid w:val="008E6412"/>
    <w:rsid w:val="008F22DD"/>
    <w:rsid w:val="008F4D38"/>
    <w:rsid w:val="00924E3A"/>
    <w:rsid w:val="00935652"/>
    <w:rsid w:val="00941495"/>
    <w:rsid w:val="009637A7"/>
    <w:rsid w:val="00992B54"/>
    <w:rsid w:val="00993556"/>
    <w:rsid w:val="00994139"/>
    <w:rsid w:val="009952DC"/>
    <w:rsid w:val="009A0F7F"/>
    <w:rsid w:val="009A4C46"/>
    <w:rsid w:val="009B0F14"/>
    <w:rsid w:val="009B5EC5"/>
    <w:rsid w:val="009C3D29"/>
    <w:rsid w:val="009C3D55"/>
    <w:rsid w:val="009C6363"/>
    <w:rsid w:val="009C63B1"/>
    <w:rsid w:val="009D09FB"/>
    <w:rsid w:val="009D0D78"/>
    <w:rsid w:val="009D5F2A"/>
    <w:rsid w:val="009F168D"/>
    <w:rsid w:val="00A009C6"/>
    <w:rsid w:val="00A00B8B"/>
    <w:rsid w:val="00A01979"/>
    <w:rsid w:val="00A02A32"/>
    <w:rsid w:val="00A02B0D"/>
    <w:rsid w:val="00A076CC"/>
    <w:rsid w:val="00A237D4"/>
    <w:rsid w:val="00A41CCA"/>
    <w:rsid w:val="00A47D84"/>
    <w:rsid w:val="00A52163"/>
    <w:rsid w:val="00A547F0"/>
    <w:rsid w:val="00A72A65"/>
    <w:rsid w:val="00A73372"/>
    <w:rsid w:val="00A862A4"/>
    <w:rsid w:val="00A875FD"/>
    <w:rsid w:val="00A9266B"/>
    <w:rsid w:val="00A93E2D"/>
    <w:rsid w:val="00AA304B"/>
    <w:rsid w:val="00AA3DB8"/>
    <w:rsid w:val="00AA5D98"/>
    <w:rsid w:val="00AA687D"/>
    <w:rsid w:val="00AA6ABD"/>
    <w:rsid w:val="00AB5E63"/>
    <w:rsid w:val="00AC025E"/>
    <w:rsid w:val="00AC56A1"/>
    <w:rsid w:val="00AD5D5C"/>
    <w:rsid w:val="00AE194A"/>
    <w:rsid w:val="00AE7BB3"/>
    <w:rsid w:val="00B01408"/>
    <w:rsid w:val="00B20BEA"/>
    <w:rsid w:val="00B25712"/>
    <w:rsid w:val="00B3076F"/>
    <w:rsid w:val="00B3130B"/>
    <w:rsid w:val="00B366C7"/>
    <w:rsid w:val="00B368A9"/>
    <w:rsid w:val="00B42965"/>
    <w:rsid w:val="00B4653F"/>
    <w:rsid w:val="00B56230"/>
    <w:rsid w:val="00B756B2"/>
    <w:rsid w:val="00B8104F"/>
    <w:rsid w:val="00B854D7"/>
    <w:rsid w:val="00B85A07"/>
    <w:rsid w:val="00B868F4"/>
    <w:rsid w:val="00B86987"/>
    <w:rsid w:val="00B9628A"/>
    <w:rsid w:val="00BA0325"/>
    <w:rsid w:val="00BA1E5B"/>
    <w:rsid w:val="00BB7003"/>
    <w:rsid w:val="00BB73A4"/>
    <w:rsid w:val="00BD16EB"/>
    <w:rsid w:val="00BD5A59"/>
    <w:rsid w:val="00BE1F79"/>
    <w:rsid w:val="00BE424C"/>
    <w:rsid w:val="00BE5BB3"/>
    <w:rsid w:val="00BE6A7E"/>
    <w:rsid w:val="00BF414D"/>
    <w:rsid w:val="00C02FFC"/>
    <w:rsid w:val="00C0316E"/>
    <w:rsid w:val="00C05C6E"/>
    <w:rsid w:val="00C20F22"/>
    <w:rsid w:val="00C24743"/>
    <w:rsid w:val="00C25BA5"/>
    <w:rsid w:val="00C268F6"/>
    <w:rsid w:val="00C37734"/>
    <w:rsid w:val="00C40464"/>
    <w:rsid w:val="00C43451"/>
    <w:rsid w:val="00C47BDC"/>
    <w:rsid w:val="00C5680E"/>
    <w:rsid w:val="00C5759D"/>
    <w:rsid w:val="00C711E4"/>
    <w:rsid w:val="00C97E1B"/>
    <w:rsid w:val="00CA003B"/>
    <w:rsid w:val="00CA03FB"/>
    <w:rsid w:val="00CA72EF"/>
    <w:rsid w:val="00CA7DC4"/>
    <w:rsid w:val="00CB11D3"/>
    <w:rsid w:val="00CB7F79"/>
    <w:rsid w:val="00CC1651"/>
    <w:rsid w:val="00CC3A88"/>
    <w:rsid w:val="00CD1907"/>
    <w:rsid w:val="00CD4516"/>
    <w:rsid w:val="00CE4754"/>
    <w:rsid w:val="00CF14C1"/>
    <w:rsid w:val="00CF3A57"/>
    <w:rsid w:val="00D0493F"/>
    <w:rsid w:val="00D202F9"/>
    <w:rsid w:val="00D20678"/>
    <w:rsid w:val="00D2651A"/>
    <w:rsid w:val="00D32FE7"/>
    <w:rsid w:val="00D33791"/>
    <w:rsid w:val="00D35F23"/>
    <w:rsid w:val="00D44840"/>
    <w:rsid w:val="00D53067"/>
    <w:rsid w:val="00D53996"/>
    <w:rsid w:val="00D57828"/>
    <w:rsid w:val="00D642EF"/>
    <w:rsid w:val="00D77B20"/>
    <w:rsid w:val="00D867DF"/>
    <w:rsid w:val="00D916DF"/>
    <w:rsid w:val="00DA0BD0"/>
    <w:rsid w:val="00DA2712"/>
    <w:rsid w:val="00DA5D39"/>
    <w:rsid w:val="00DB55E0"/>
    <w:rsid w:val="00DB75BA"/>
    <w:rsid w:val="00DB7619"/>
    <w:rsid w:val="00DB7700"/>
    <w:rsid w:val="00DD40AA"/>
    <w:rsid w:val="00DE5DAB"/>
    <w:rsid w:val="00E06DE3"/>
    <w:rsid w:val="00E10FE8"/>
    <w:rsid w:val="00E1781C"/>
    <w:rsid w:val="00E20D58"/>
    <w:rsid w:val="00E445BF"/>
    <w:rsid w:val="00E7179B"/>
    <w:rsid w:val="00E84B65"/>
    <w:rsid w:val="00E84CC1"/>
    <w:rsid w:val="00E85519"/>
    <w:rsid w:val="00E90370"/>
    <w:rsid w:val="00E926E2"/>
    <w:rsid w:val="00EA18A3"/>
    <w:rsid w:val="00EA629C"/>
    <w:rsid w:val="00EB7958"/>
    <w:rsid w:val="00EB7FA4"/>
    <w:rsid w:val="00EC1409"/>
    <w:rsid w:val="00EC5716"/>
    <w:rsid w:val="00EE6C9A"/>
    <w:rsid w:val="00F01DAF"/>
    <w:rsid w:val="00F02669"/>
    <w:rsid w:val="00F0751D"/>
    <w:rsid w:val="00F24A4E"/>
    <w:rsid w:val="00F267E7"/>
    <w:rsid w:val="00F2707F"/>
    <w:rsid w:val="00F27E42"/>
    <w:rsid w:val="00F33187"/>
    <w:rsid w:val="00F3472F"/>
    <w:rsid w:val="00F34A53"/>
    <w:rsid w:val="00F36F09"/>
    <w:rsid w:val="00F4345B"/>
    <w:rsid w:val="00F47FCB"/>
    <w:rsid w:val="00F64AC0"/>
    <w:rsid w:val="00F64D8F"/>
    <w:rsid w:val="00F67567"/>
    <w:rsid w:val="00F67A47"/>
    <w:rsid w:val="00F810E0"/>
    <w:rsid w:val="00F869BE"/>
    <w:rsid w:val="00F93B0A"/>
    <w:rsid w:val="00F9484D"/>
    <w:rsid w:val="00F95FDC"/>
    <w:rsid w:val="00FA1B6E"/>
    <w:rsid w:val="00FA23DB"/>
    <w:rsid w:val="00FA3518"/>
    <w:rsid w:val="00FB31B8"/>
    <w:rsid w:val="00FB4CDE"/>
    <w:rsid w:val="00FC1E81"/>
    <w:rsid w:val="00FC204D"/>
    <w:rsid w:val="00FD1F8A"/>
    <w:rsid w:val="00FD385E"/>
    <w:rsid w:val="00FE048B"/>
    <w:rsid w:val="03460F87"/>
    <w:rsid w:val="04A4699F"/>
    <w:rsid w:val="083D3E5D"/>
    <w:rsid w:val="0E99135C"/>
    <w:rsid w:val="10E074D2"/>
    <w:rsid w:val="121B72D8"/>
    <w:rsid w:val="151F37C9"/>
    <w:rsid w:val="17EE4ED5"/>
    <w:rsid w:val="21C32459"/>
    <w:rsid w:val="25BB1A9D"/>
    <w:rsid w:val="2CE20C2E"/>
    <w:rsid w:val="39D74F80"/>
    <w:rsid w:val="3AF45CFC"/>
    <w:rsid w:val="3B430319"/>
    <w:rsid w:val="3FBE01FE"/>
    <w:rsid w:val="45776D83"/>
    <w:rsid w:val="497D582C"/>
    <w:rsid w:val="54B35D93"/>
    <w:rsid w:val="5C547973"/>
    <w:rsid w:val="61DD306B"/>
    <w:rsid w:val="64B02A13"/>
    <w:rsid w:val="69316AA3"/>
    <w:rsid w:val="6B244EBB"/>
    <w:rsid w:val="7A085054"/>
    <w:rsid w:val="7CD83559"/>
    <w:rsid w:val="7F1C2A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3"/>
    <w:qFormat/>
    <w:uiPriority w:val="0"/>
    <w:pPr>
      <w:keepNext/>
      <w:keepLines/>
      <w:spacing w:before="260" w:after="260" w:line="416" w:lineRule="auto"/>
      <w:outlineLvl w:val="1"/>
    </w:pPr>
    <w:rPr>
      <w:rFonts w:ascii="Arial" w:hAnsi="Arial" w:eastAsia="黑体"/>
      <w:b/>
      <w:bCs/>
      <w:kern w:val="0"/>
      <w:sz w:val="32"/>
      <w:szCs w:val="32"/>
    </w:rPr>
  </w:style>
  <w:style w:type="paragraph" w:styleId="3">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link w:val="15"/>
    <w:qFormat/>
    <w:uiPriority w:val="0"/>
    <w:rPr>
      <w:rFonts w:eastAsia="仿宋_GB2312"/>
      <w:kern w:val="0"/>
      <w:sz w:val="28"/>
      <w:szCs w:val="20"/>
    </w:rPr>
  </w:style>
  <w:style w:type="paragraph" w:styleId="5">
    <w:name w:val="Balloon Text"/>
    <w:basedOn w:val="1"/>
    <w:link w:val="20"/>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kern w:val="0"/>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styleId="11">
    <w:name w:val="FollowedHyperlink"/>
    <w:basedOn w:val="10"/>
    <w:unhideWhenUsed/>
    <w:qFormat/>
    <w:uiPriority w:val="99"/>
    <w:rPr>
      <w:color w:val="800080"/>
      <w:u w:val="single"/>
    </w:rPr>
  </w:style>
  <w:style w:type="character" w:styleId="12">
    <w:name w:val="Hyperlink"/>
    <w:basedOn w:val="10"/>
    <w:unhideWhenUsed/>
    <w:qFormat/>
    <w:uiPriority w:val="99"/>
    <w:rPr>
      <w:color w:val="0000FF"/>
      <w:u w:val="single"/>
    </w:rPr>
  </w:style>
  <w:style w:type="character" w:customStyle="1" w:styleId="13">
    <w:name w:val="标题 2 字符"/>
    <w:basedOn w:val="10"/>
    <w:link w:val="2"/>
    <w:qFormat/>
    <w:uiPriority w:val="0"/>
    <w:rPr>
      <w:rFonts w:ascii="Arial" w:hAnsi="Arial" w:eastAsia="黑体" w:cs="Times New Roman"/>
      <w:b/>
      <w:bCs/>
      <w:kern w:val="0"/>
      <w:sz w:val="32"/>
      <w:szCs w:val="32"/>
    </w:rPr>
  </w:style>
  <w:style w:type="character" w:customStyle="1" w:styleId="14">
    <w:name w:val="正文文本 Char"/>
    <w:basedOn w:val="10"/>
    <w:semiHidden/>
    <w:qFormat/>
    <w:uiPriority w:val="99"/>
    <w:rPr>
      <w:rFonts w:ascii="Times New Roman" w:hAnsi="Times New Roman" w:eastAsia="宋体" w:cs="Times New Roman"/>
      <w:szCs w:val="24"/>
    </w:rPr>
  </w:style>
  <w:style w:type="character" w:customStyle="1" w:styleId="15">
    <w:name w:val="正文文本 字符"/>
    <w:link w:val="4"/>
    <w:qFormat/>
    <w:locked/>
    <w:uiPriority w:val="0"/>
    <w:rPr>
      <w:rFonts w:ascii="Times New Roman" w:hAnsi="Times New Roman" w:eastAsia="仿宋_GB2312" w:cs="Times New Roman"/>
      <w:kern w:val="0"/>
      <w:sz w:val="28"/>
      <w:szCs w:val="20"/>
    </w:rPr>
  </w:style>
  <w:style w:type="character" w:customStyle="1" w:styleId="16">
    <w:name w:val="页脚 字符"/>
    <w:basedOn w:val="10"/>
    <w:link w:val="6"/>
    <w:qFormat/>
    <w:uiPriority w:val="99"/>
    <w:rPr>
      <w:rFonts w:ascii="Times New Roman" w:hAnsi="Times New Roman" w:eastAsia="宋体" w:cs="Times New Roman"/>
      <w:kern w:val="0"/>
      <w:sz w:val="18"/>
      <w:szCs w:val="18"/>
    </w:rPr>
  </w:style>
  <w:style w:type="paragraph" w:customStyle="1" w:styleId="17">
    <w:name w:val="列出段落1"/>
    <w:basedOn w:val="1"/>
    <w:qFormat/>
    <w:uiPriority w:val="34"/>
    <w:pPr>
      <w:ind w:firstLine="420" w:firstLineChars="200"/>
    </w:pPr>
  </w:style>
  <w:style w:type="character" w:customStyle="1" w:styleId="18">
    <w:name w:val="标题 3 字符"/>
    <w:basedOn w:val="10"/>
    <w:link w:val="3"/>
    <w:semiHidden/>
    <w:qFormat/>
    <w:uiPriority w:val="9"/>
    <w:rPr>
      <w:rFonts w:ascii="Times New Roman" w:hAnsi="Times New Roman" w:eastAsia="宋体" w:cs="Times New Roman"/>
      <w:b/>
      <w:bCs/>
      <w:sz w:val="32"/>
      <w:szCs w:val="32"/>
    </w:rPr>
  </w:style>
  <w:style w:type="character" w:customStyle="1" w:styleId="19">
    <w:name w:val="页眉 字符"/>
    <w:basedOn w:val="10"/>
    <w:link w:val="7"/>
    <w:qFormat/>
    <w:uiPriority w:val="99"/>
    <w:rPr>
      <w:rFonts w:ascii="Times New Roman" w:hAnsi="Times New Roman" w:eastAsia="宋体" w:cs="Times New Roman"/>
      <w:sz w:val="18"/>
      <w:szCs w:val="18"/>
    </w:rPr>
  </w:style>
  <w:style w:type="character" w:customStyle="1" w:styleId="20">
    <w:name w:val="批注框文本 字符"/>
    <w:basedOn w:val="10"/>
    <w:link w:val="5"/>
    <w:semiHidden/>
    <w:qFormat/>
    <w:uiPriority w:val="99"/>
    <w:rPr>
      <w:rFonts w:ascii="Times New Roman" w:hAnsi="Times New Roman" w:eastAsia="宋体" w:cs="Times New Roman"/>
      <w:sz w:val="18"/>
      <w:szCs w:val="18"/>
    </w:rPr>
  </w:style>
  <w:style w:type="paragraph" w:customStyle="1" w:styleId="2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
    <w:name w:val="font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4">
    <w:name w:val="font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
    <w:name w:val="xl1202"/>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6">
    <w:name w:val="xl1203"/>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7">
    <w:name w:val="xl1204"/>
    <w:basedOn w:val="1"/>
    <w:qFormat/>
    <w:uiPriority w:val="0"/>
    <w:pPr>
      <w:widowControl/>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8">
    <w:name w:val="xl1205"/>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29">
    <w:name w:val="xl1206"/>
    <w:basedOn w:val="1"/>
    <w:qFormat/>
    <w:uiPriority w:val="0"/>
    <w:pPr>
      <w:widowControl/>
      <w:shd w:val="clear" w:color="000000" w:fill="FFFFFF"/>
      <w:spacing w:before="100" w:beforeAutospacing="1" w:after="100" w:afterAutospacing="1"/>
      <w:jc w:val="center"/>
    </w:pPr>
    <w:rPr>
      <w:rFonts w:ascii="宋体" w:hAnsi="宋体" w:cs="宋体"/>
      <w:kern w:val="0"/>
      <w:sz w:val="20"/>
      <w:szCs w:val="20"/>
    </w:rPr>
  </w:style>
  <w:style w:type="paragraph" w:customStyle="1" w:styleId="30">
    <w:name w:val="xl12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31">
    <w:name w:val="xl1208"/>
    <w:basedOn w:val="1"/>
    <w:qFormat/>
    <w:uiPriority w:val="0"/>
    <w:pPr>
      <w:widowControl/>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2">
    <w:name w:val="xl1209"/>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33">
    <w:name w:val="xl1210"/>
    <w:basedOn w:val="1"/>
    <w:qFormat/>
    <w:uiPriority w:val="0"/>
    <w:pPr>
      <w:widowControl/>
      <w:shd w:val="clear" w:color="000000" w:fill="FFFFFF"/>
      <w:spacing w:before="100" w:beforeAutospacing="1" w:after="100" w:afterAutospacing="1"/>
      <w:jc w:val="left"/>
    </w:pPr>
    <w:rPr>
      <w:rFonts w:ascii="宋体" w:hAnsi="宋体" w:cs="宋体"/>
      <w:b/>
      <w:bCs/>
      <w:kern w:val="0"/>
      <w:sz w:val="20"/>
      <w:szCs w:val="20"/>
    </w:rPr>
  </w:style>
  <w:style w:type="paragraph" w:customStyle="1" w:styleId="34">
    <w:name w:val="xl1211"/>
    <w:basedOn w:val="1"/>
    <w:qFormat/>
    <w:uiPriority w:val="0"/>
    <w:pPr>
      <w:widowControl/>
      <w:shd w:val="clear" w:color="000000" w:fill="FFFFFF"/>
      <w:spacing w:before="100" w:beforeAutospacing="1" w:after="100" w:afterAutospacing="1"/>
      <w:jc w:val="center"/>
    </w:pPr>
    <w:rPr>
      <w:rFonts w:ascii="黑体" w:hAnsi="黑体" w:eastAsia="黑体" w:cs="宋体"/>
      <w:b/>
      <w:bCs/>
      <w:color w:val="000000"/>
      <w:kern w:val="0"/>
      <w:sz w:val="36"/>
      <w:szCs w:val="36"/>
    </w:rPr>
  </w:style>
  <w:style w:type="paragraph" w:customStyle="1" w:styleId="35">
    <w:name w:val="xl1212"/>
    <w:basedOn w:val="1"/>
    <w:qFormat/>
    <w:uiPriority w:val="0"/>
    <w:pPr>
      <w:widowControl/>
      <w:pBdr>
        <w:bottom w:val="single" w:color="auto" w:sz="4" w:space="0"/>
      </w:pBdr>
      <w:shd w:val="clear" w:color="000000" w:fill="FFFFFF"/>
      <w:spacing w:before="100" w:beforeAutospacing="1" w:after="100" w:afterAutospacing="1"/>
      <w:jc w:val="left"/>
    </w:pPr>
    <w:rPr>
      <w:rFonts w:ascii="黑体" w:hAnsi="黑体" w:eastAsia="黑体" w:cs="宋体"/>
      <w:color w:val="000000"/>
      <w:kern w:val="0"/>
      <w:sz w:val="20"/>
      <w:szCs w:val="20"/>
    </w:rPr>
  </w:style>
  <w:style w:type="paragraph" w:customStyle="1" w:styleId="36">
    <w:name w:val="xl12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0"/>
      <w:szCs w:val="20"/>
    </w:rPr>
  </w:style>
  <w:style w:type="paragraph" w:customStyle="1" w:styleId="37">
    <w:name w:val="xl12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0"/>
      <w:szCs w:val="20"/>
    </w:rPr>
  </w:style>
  <w:style w:type="paragraph" w:customStyle="1" w:styleId="38">
    <w:name w:val="xl12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9">
    <w:name w:val="xl12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0">
    <w:name w:val="xl121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1">
    <w:name w:val="xl12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42">
    <w:name w:val="xl12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3">
    <w:name w:val="xl12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44">
    <w:name w:val="xl12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45">
    <w:name w:val="xl122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46">
    <w:name w:val="xl12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7">
    <w:name w:val="xl12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8">
    <w:name w:val="xl122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9">
    <w:name w:val="xl1226"/>
    <w:basedOn w:val="1"/>
    <w:qFormat/>
    <w:uiPriority w:val="0"/>
    <w:pPr>
      <w:widowControl/>
      <w:shd w:val="clear" w:color="000000" w:fill="FFFFFF"/>
      <w:spacing w:before="100" w:beforeAutospacing="1" w:after="100" w:afterAutospacing="1"/>
      <w:jc w:val="center"/>
    </w:pPr>
    <w:rPr>
      <w:rFonts w:ascii="宋体" w:hAnsi="宋体" w:cs="宋体"/>
      <w:kern w:val="0"/>
      <w:sz w:val="20"/>
      <w:szCs w:val="20"/>
    </w:rPr>
  </w:style>
  <w:style w:type="paragraph" w:customStyle="1" w:styleId="50">
    <w:name w:val="xl12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51">
    <w:name w:val="xl1228"/>
    <w:basedOn w:val="1"/>
    <w:qFormat/>
    <w:uiPriority w:val="0"/>
    <w:pPr>
      <w:widowControl/>
      <w:pBdr>
        <w:top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52">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3">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
    <w:name w:val="font11"/>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55">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6">
    <w:name w:val="xl12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7">
    <w:name w:val="xl123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8">
    <w:name w:val="xl12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9">
    <w:name w:val="xl12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60">
    <w:name w:val="xl12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61">
    <w:name w:val="xl12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62">
    <w:name w:val="xl123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63">
    <w:name w:val="xl12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4">
    <w:name w:val="xl12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5">
    <w:name w:val="xl123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6">
    <w:name w:val="xl12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67">
    <w:name w:val="xl12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8">
    <w:name w:val="xl12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69">
    <w:name w:val="xl1242"/>
    <w:basedOn w:val="1"/>
    <w:qFormat/>
    <w:uiPriority w:val="0"/>
    <w:pPr>
      <w:widowControl/>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70">
    <w:name w:val="xl12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71">
    <w:name w:val="xl12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2">
    <w:name w:val="xl1245"/>
    <w:basedOn w:val="1"/>
    <w:qFormat/>
    <w:uiPriority w:val="0"/>
    <w:pPr>
      <w:widowControl/>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73">
    <w:name w:val="xl124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4">
    <w:name w:val="xl1247"/>
    <w:basedOn w:val="1"/>
    <w:qFormat/>
    <w:uiPriority w:val="0"/>
    <w:pPr>
      <w:widowControl/>
      <w:shd w:val="clear" w:color="000000" w:fill="FFFFFF"/>
      <w:spacing w:before="100" w:beforeAutospacing="1" w:after="100" w:afterAutospacing="1"/>
      <w:jc w:val="center"/>
    </w:pPr>
    <w:rPr>
      <w:rFonts w:ascii="宋体" w:hAnsi="宋体" w:cs="宋体"/>
      <w:kern w:val="0"/>
      <w:sz w:val="18"/>
      <w:szCs w:val="18"/>
    </w:rPr>
  </w:style>
  <w:style w:type="paragraph" w:customStyle="1" w:styleId="75">
    <w:name w:val="xl124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6">
    <w:name w:val="xl12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7">
    <w:name w:val="xl125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8">
    <w:name w:val="xl125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79">
    <w:name w:val="xl12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80">
    <w:name w:val="xl12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81">
    <w:name w:val="xl125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82">
    <w:name w:val="xl125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3">
    <w:name w:val="xl125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18"/>
      <w:szCs w:val="18"/>
    </w:rPr>
  </w:style>
  <w:style w:type="paragraph" w:customStyle="1" w:styleId="84">
    <w:name w:val="xl12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85">
    <w:name w:val="xl12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86">
    <w:name w:val="xl12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7">
    <w:name w:val="xl1260"/>
    <w:basedOn w:val="1"/>
    <w:qFormat/>
    <w:uiPriority w:val="0"/>
    <w:pPr>
      <w:widowControl/>
      <w:pBdr>
        <w:top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8">
    <w:name w:val="xl1261"/>
    <w:basedOn w:val="1"/>
    <w:qFormat/>
    <w:uiPriority w:val="0"/>
    <w:pPr>
      <w:widowControl/>
      <w:shd w:val="clear" w:color="000000" w:fill="FFFFFF"/>
      <w:spacing w:before="100" w:beforeAutospacing="1" w:after="100" w:afterAutospacing="1"/>
      <w:jc w:val="left"/>
    </w:pPr>
    <w:rPr>
      <w:rFonts w:ascii="宋体" w:hAnsi="宋体" w:cs="宋体"/>
      <w:kern w:val="0"/>
      <w:sz w:val="18"/>
      <w:szCs w:val="18"/>
    </w:rPr>
  </w:style>
  <w:style w:type="paragraph" w:customStyle="1" w:styleId="89">
    <w:name w:val="xl1262"/>
    <w:basedOn w:val="1"/>
    <w:qFormat/>
    <w:uiPriority w:val="0"/>
    <w:pPr>
      <w:widowControl/>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90">
    <w:name w:val="xl1263"/>
    <w:basedOn w:val="1"/>
    <w:qFormat/>
    <w:uiPriority w:val="0"/>
    <w:pPr>
      <w:widowControl/>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91">
    <w:name w:val="xl1264"/>
    <w:basedOn w:val="1"/>
    <w:qFormat/>
    <w:uiPriority w:val="0"/>
    <w:pPr>
      <w:widowControl/>
      <w:shd w:val="clear" w:color="000000" w:fill="FFFFFF"/>
      <w:spacing w:before="100" w:beforeAutospacing="1" w:after="100" w:afterAutospacing="1"/>
      <w:jc w:val="left"/>
    </w:pPr>
    <w:rPr>
      <w:rFonts w:ascii="宋体" w:hAnsi="宋体" w:cs="宋体"/>
      <w:kern w:val="0"/>
      <w:sz w:val="18"/>
      <w:szCs w:val="18"/>
    </w:rPr>
  </w:style>
  <w:style w:type="paragraph" w:customStyle="1" w:styleId="92">
    <w:name w:val="xl1265"/>
    <w:basedOn w:val="1"/>
    <w:qFormat/>
    <w:uiPriority w:val="0"/>
    <w:pPr>
      <w:widowControl/>
      <w:shd w:val="clear" w:color="000000" w:fill="FFFFFF"/>
      <w:spacing w:before="100" w:beforeAutospacing="1" w:after="100" w:afterAutospacing="1"/>
      <w:jc w:val="center"/>
    </w:pPr>
    <w:rPr>
      <w:rFonts w:ascii="宋体" w:hAnsi="宋体" w:cs="宋体"/>
      <w:kern w:val="0"/>
      <w:sz w:val="18"/>
      <w:szCs w:val="18"/>
    </w:rPr>
  </w:style>
  <w:style w:type="paragraph" w:customStyle="1" w:styleId="93">
    <w:name w:val="xl1266"/>
    <w:basedOn w:val="1"/>
    <w:qFormat/>
    <w:uiPriority w:val="0"/>
    <w:pPr>
      <w:widowControl/>
      <w:shd w:val="clear" w:color="000000" w:fill="FFFFFF"/>
      <w:spacing w:before="100" w:beforeAutospacing="1" w:after="100" w:afterAutospacing="1"/>
      <w:jc w:val="left"/>
    </w:pPr>
    <w:rPr>
      <w:rFonts w:ascii="宋体" w:hAnsi="宋体" w:cs="宋体"/>
      <w:b/>
      <w:bCs/>
      <w:kern w:val="0"/>
      <w:sz w:val="18"/>
      <w:szCs w:val="18"/>
    </w:rPr>
  </w:style>
  <w:style w:type="paragraph" w:styleId="94">
    <w:name w:val="List Paragraph"/>
    <w:basedOn w:val="1"/>
    <w:qFormat/>
    <w:uiPriority w:val="1"/>
    <w:pPr>
      <w:ind w:firstLine="420" w:firstLineChars="200"/>
    </w:pPr>
  </w:style>
  <w:style w:type="paragraph" w:customStyle="1" w:styleId="9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E076E0-7859-45C0-8993-B6ECDD4820B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17</Pages>
  <Words>1300</Words>
  <Characters>7416</Characters>
  <Lines>61</Lines>
  <Paragraphs>17</Paragraphs>
  <TotalTime>16</TotalTime>
  <ScaleCrop>false</ScaleCrop>
  <LinksUpToDate>false</LinksUpToDate>
  <CharactersWithSpaces>8699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2013-08-30T03:01:00Z</dcterms:created>
  <dc:creator>Sky123.Org</dc:creator>
  <cp:lastModifiedBy>xiehao</cp:lastModifiedBy>
  <cp:lastPrinted>2022-03-04T07:23:28Z</cp:lastPrinted>
  <dcterms:modified xsi:type="dcterms:W3CDTF">2022-03-04T07:26:38Z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